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0"/>
        </w:rPr>
      </w:pPr>
      <w:r>
        <w:rPr>
          <w:rFonts w:hint="eastAsia" w:ascii="黑体" w:hAnsi="黑体" w:eastAsia="黑体"/>
          <w:szCs w:val="30"/>
        </w:rPr>
        <w:t>附件</w:t>
      </w:r>
      <w:r>
        <w:rPr>
          <w:rFonts w:hint="eastAsia" w:ascii="黑体" w:hAnsi="黑体" w:eastAsia="黑体"/>
          <w:szCs w:val="30"/>
          <w:lang w:val="en-US" w:eastAsia="zh-CN"/>
        </w:rPr>
        <w:t>2</w:t>
      </w:r>
      <w:r>
        <w:rPr>
          <w:rFonts w:hint="eastAsia" w:ascii="黑体" w:hAnsi="黑体" w:eastAsia="黑体"/>
          <w:szCs w:val="30"/>
        </w:rPr>
        <w:t>：</w:t>
      </w:r>
    </w:p>
    <w:p>
      <w:pPr>
        <w:snapToGrid w:val="0"/>
        <w:rPr>
          <w:rFonts w:ascii="黑体" w:hAnsi="黑体" w:eastAsia="黑体" w:cs="宋体"/>
          <w:color w:val="000000"/>
          <w:kern w:val="0"/>
          <w:szCs w:val="30"/>
        </w:rPr>
      </w:pPr>
    </w:p>
    <w:p>
      <w:pPr>
        <w:snapToGrid w:val="0"/>
        <w:jc w:val="center"/>
        <w:rPr>
          <w:rFonts w:ascii="方正小标宋简体" w:eastAsia="方正小标宋简体"/>
          <w:spacing w:val="-10"/>
          <w:sz w:val="44"/>
          <w:szCs w:val="44"/>
        </w:rPr>
      </w:pPr>
      <w:r>
        <w:rPr>
          <w:rFonts w:hint="eastAsia" w:ascii="方正小标宋简体" w:eastAsia="方正小标宋简体"/>
          <w:spacing w:val="-10"/>
          <w:sz w:val="44"/>
          <w:szCs w:val="44"/>
        </w:rPr>
        <w:t>河南省家庭经济困难</w:t>
      </w:r>
      <w:bookmarkStart w:id="0" w:name="_GoBack"/>
      <w:bookmarkEnd w:id="0"/>
      <w:r>
        <w:rPr>
          <w:rFonts w:hint="eastAsia" w:ascii="方正小标宋简体" w:eastAsia="方正小标宋简体"/>
          <w:spacing w:val="-10"/>
          <w:sz w:val="44"/>
          <w:szCs w:val="44"/>
        </w:rPr>
        <w:t>学生资助政策体系一览表</w:t>
      </w:r>
    </w:p>
    <w:p>
      <w:pPr>
        <w:snapToGrid w:val="0"/>
        <w:spacing w:line="240" w:lineRule="exact"/>
        <w:jc w:val="center"/>
        <w:rPr>
          <w:rFonts w:ascii="黑体" w:hAnsi="黑体" w:eastAsia="黑体"/>
        </w:rPr>
      </w:pPr>
    </w:p>
    <w:p>
      <w:pPr>
        <w:snapToGrid w:val="0"/>
        <w:jc w:val="center"/>
        <w:rPr>
          <w:rFonts w:ascii="仿宋_GB2312" w:hAnsi="黑体"/>
        </w:rPr>
      </w:pPr>
      <w:r>
        <w:rPr>
          <w:rFonts w:hint="eastAsia" w:ascii="仿宋_GB2312" w:hAnsi="黑体"/>
        </w:rPr>
        <w:t>（201</w:t>
      </w:r>
      <w:r>
        <w:rPr>
          <w:rFonts w:ascii="仿宋_GB2312" w:hAnsi="黑体"/>
        </w:rPr>
        <w:t>7</w:t>
      </w:r>
      <w:r>
        <w:rPr>
          <w:rFonts w:hint="eastAsia" w:ascii="仿宋_GB2312" w:hAnsi="黑体"/>
        </w:rPr>
        <w:t>年</w:t>
      </w:r>
      <w:r>
        <w:rPr>
          <w:rFonts w:ascii="仿宋_GB2312" w:hAnsi="黑体"/>
        </w:rPr>
        <w:t>7</w:t>
      </w:r>
      <w:r>
        <w:rPr>
          <w:rFonts w:hint="eastAsia" w:ascii="仿宋_GB2312" w:hAnsi="黑体"/>
        </w:rPr>
        <w:t>月）</w:t>
      </w:r>
    </w:p>
    <w:p>
      <w:pPr>
        <w:snapToGrid w:val="0"/>
        <w:spacing w:line="240" w:lineRule="exact"/>
        <w:jc w:val="center"/>
        <w:rPr>
          <w:rFonts w:ascii="黑体" w:hAnsi="黑体" w:eastAsia="黑体"/>
        </w:rPr>
      </w:pPr>
    </w:p>
    <w:p>
      <w:pPr>
        <w:snapToGrid w:val="0"/>
        <w:spacing w:line="240" w:lineRule="exact"/>
        <w:jc w:val="center"/>
        <w:rPr>
          <w:rFonts w:ascii="黑体" w:hAnsi="黑体" w:eastAsia="黑体"/>
        </w:rPr>
      </w:pPr>
    </w:p>
    <w:tbl>
      <w:tblPr>
        <w:tblStyle w:val="9"/>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10"/>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86" w:type="dxa"/>
            <w:shd w:val="clear" w:color="auto" w:fill="auto"/>
            <w:vAlign w:val="center"/>
          </w:tcPr>
          <w:p>
            <w:pPr>
              <w:snapToGrid w:val="0"/>
              <w:jc w:val="center"/>
              <w:rPr>
                <w:rFonts w:ascii="黑体" w:hAnsi="黑体" w:eastAsia="黑体"/>
                <w:szCs w:val="30"/>
              </w:rPr>
            </w:pPr>
            <w:r>
              <w:rPr>
                <w:rFonts w:hint="eastAsia" w:ascii="黑体" w:hAnsi="黑体" w:eastAsia="黑体"/>
                <w:szCs w:val="30"/>
              </w:rPr>
              <w:t>教育阶段</w:t>
            </w:r>
          </w:p>
        </w:tc>
        <w:tc>
          <w:tcPr>
            <w:tcW w:w="1410" w:type="dxa"/>
            <w:shd w:val="clear" w:color="auto" w:fill="auto"/>
            <w:vAlign w:val="center"/>
          </w:tcPr>
          <w:p>
            <w:pPr>
              <w:snapToGrid w:val="0"/>
              <w:jc w:val="center"/>
              <w:rPr>
                <w:rFonts w:ascii="黑体" w:hAnsi="黑体" w:eastAsia="黑体"/>
                <w:szCs w:val="30"/>
              </w:rPr>
            </w:pPr>
            <w:r>
              <w:rPr>
                <w:rFonts w:hint="eastAsia" w:ascii="黑体" w:hAnsi="黑体" w:eastAsia="黑体"/>
                <w:szCs w:val="30"/>
              </w:rPr>
              <w:t>学校类别</w:t>
            </w:r>
          </w:p>
        </w:tc>
        <w:tc>
          <w:tcPr>
            <w:tcW w:w="5350" w:type="dxa"/>
            <w:vAlign w:val="center"/>
          </w:tcPr>
          <w:p>
            <w:pPr>
              <w:snapToGrid w:val="0"/>
              <w:jc w:val="center"/>
              <w:rPr>
                <w:rFonts w:ascii="黑体" w:hAnsi="黑体" w:eastAsia="黑体"/>
                <w:szCs w:val="30"/>
              </w:rPr>
            </w:pPr>
            <w:r>
              <w:rPr>
                <w:rFonts w:hint="eastAsia" w:ascii="黑体" w:hAnsi="黑体" w:eastAsia="黑体"/>
                <w:szCs w:val="30"/>
              </w:rPr>
              <w:t>资 助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restart"/>
            <w:shd w:val="clear" w:color="auto" w:fill="auto"/>
            <w:vAlign w:val="center"/>
          </w:tcPr>
          <w:p>
            <w:pPr>
              <w:snapToGrid w:val="0"/>
              <w:jc w:val="center"/>
              <w:rPr>
                <w:rFonts w:ascii="仿宋_GB2312" w:hAnsi="黑体"/>
                <w:color w:val="auto"/>
                <w:szCs w:val="30"/>
              </w:rPr>
            </w:pPr>
            <w:r>
              <w:rPr>
                <w:rFonts w:hint="eastAsia" w:ascii="仿宋_GB2312"/>
                <w:color w:val="auto"/>
                <w:szCs w:val="30"/>
              </w:rPr>
              <w:t>高等教育</w:t>
            </w:r>
          </w:p>
        </w:tc>
        <w:tc>
          <w:tcPr>
            <w:tcW w:w="1410" w:type="dxa"/>
            <w:vMerge w:val="restart"/>
            <w:shd w:val="clear" w:color="auto" w:fill="auto"/>
            <w:vAlign w:val="center"/>
          </w:tcPr>
          <w:p>
            <w:pPr>
              <w:snapToGrid w:val="0"/>
              <w:jc w:val="center"/>
              <w:rPr>
                <w:rFonts w:ascii="仿宋_GB2312"/>
                <w:color w:val="auto"/>
                <w:szCs w:val="30"/>
              </w:rPr>
            </w:pPr>
            <w:r>
              <w:rPr>
                <w:rFonts w:hint="eastAsia" w:ascii="仿宋_GB2312"/>
                <w:color w:val="auto"/>
                <w:szCs w:val="30"/>
              </w:rPr>
              <w:t>普通</w:t>
            </w:r>
          </w:p>
          <w:p>
            <w:pPr>
              <w:snapToGrid w:val="0"/>
              <w:jc w:val="center"/>
              <w:rPr>
                <w:rFonts w:ascii="仿宋_GB2312"/>
                <w:color w:val="auto"/>
                <w:szCs w:val="30"/>
              </w:rPr>
            </w:pPr>
            <w:r>
              <w:rPr>
                <w:rFonts w:hint="eastAsia" w:ascii="仿宋_GB2312"/>
                <w:color w:val="auto"/>
                <w:szCs w:val="30"/>
              </w:rPr>
              <w:t>高等</w:t>
            </w:r>
          </w:p>
          <w:p>
            <w:pPr>
              <w:snapToGrid w:val="0"/>
              <w:jc w:val="center"/>
              <w:rPr>
                <w:rFonts w:ascii="仿宋_GB2312"/>
                <w:color w:val="auto"/>
                <w:szCs w:val="30"/>
              </w:rPr>
            </w:pPr>
            <w:r>
              <w:rPr>
                <w:rFonts w:hint="eastAsia" w:ascii="仿宋_GB2312"/>
                <w:color w:val="auto"/>
                <w:szCs w:val="30"/>
              </w:rPr>
              <w:t>学校</w:t>
            </w:r>
          </w:p>
          <w:p>
            <w:pPr>
              <w:snapToGrid w:val="0"/>
              <w:rPr>
                <w:rFonts w:ascii="楷体_GB2312" w:hAnsi="黑体" w:eastAsia="楷体_GB2312"/>
                <w:color w:val="auto"/>
                <w:szCs w:val="30"/>
              </w:rPr>
            </w:pPr>
            <w:r>
              <w:rPr>
                <w:rFonts w:hint="eastAsia" w:ascii="楷体_GB2312" w:eastAsia="楷体_GB2312"/>
                <w:color w:val="auto"/>
                <w:szCs w:val="30"/>
              </w:rPr>
              <w:t>（注：除国家励志奖学金、学业奖学金外，其他资助项目均适用于本专科生和研究生）</w:t>
            </w:r>
          </w:p>
        </w:tc>
        <w:tc>
          <w:tcPr>
            <w:tcW w:w="5350" w:type="dxa"/>
            <w:vAlign w:val="center"/>
          </w:tcPr>
          <w:p>
            <w:pPr>
              <w:snapToGrid w:val="0"/>
              <w:jc w:val="left"/>
              <w:rPr>
                <w:rFonts w:ascii="仿宋_GB2312"/>
                <w:color w:val="auto"/>
                <w:szCs w:val="30"/>
              </w:rPr>
            </w:pPr>
            <w:r>
              <w:rPr>
                <w:rFonts w:hint="eastAsia" w:ascii="仿宋_GB2312"/>
                <w:color w:val="auto"/>
                <w:szCs w:val="30"/>
              </w:rPr>
              <w:t>1.国家助学金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jc w:val="left"/>
              <w:rPr>
                <w:rFonts w:ascii="仿宋_GB2312"/>
                <w:color w:val="auto"/>
                <w:szCs w:val="30"/>
              </w:rPr>
            </w:pPr>
            <w:r>
              <w:rPr>
                <w:rFonts w:hint="eastAsia" w:ascii="仿宋_GB2312"/>
                <w:color w:val="auto"/>
                <w:szCs w:val="30"/>
              </w:rPr>
              <w:t>2.国家励志奖学金（本专科生）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jc w:val="left"/>
              <w:rPr>
                <w:rFonts w:ascii="仿宋_GB2312"/>
                <w:color w:val="auto"/>
                <w:szCs w:val="30"/>
              </w:rPr>
            </w:pPr>
            <w:r>
              <w:rPr>
                <w:rFonts w:hint="eastAsia" w:ascii="仿宋_GB2312"/>
                <w:color w:val="auto"/>
                <w:szCs w:val="30"/>
              </w:rPr>
              <w:t>3.国家奖学金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jc w:val="left"/>
              <w:rPr>
                <w:rFonts w:ascii="仿宋_GB2312"/>
                <w:color w:val="auto"/>
                <w:szCs w:val="30"/>
              </w:rPr>
            </w:pPr>
            <w:r>
              <w:rPr>
                <w:rFonts w:hint="eastAsia" w:ascii="仿宋_GB2312"/>
                <w:color w:val="auto"/>
                <w:szCs w:val="30"/>
              </w:rPr>
              <w:t>4.学业奖学金（研究生）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jc w:val="left"/>
              <w:rPr>
                <w:rFonts w:ascii="仿宋_GB2312"/>
                <w:color w:val="auto"/>
                <w:szCs w:val="30"/>
              </w:rPr>
            </w:pPr>
            <w:r>
              <w:rPr>
                <w:rFonts w:hint="eastAsia" w:ascii="仿宋_GB2312"/>
                <w:color w:val="auto"/>
                <w:szCs w:val="30"/>
              </w:rPr>
              <w:t>5.校园地国家助学贷款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jc w:val="left"/>
              <w:rPr>
                <w:rFonts w:ascii="仿宋_GB2312"/>
                <w:color w:val="auto"/>
                <w:szCs w:val="30"/>
              </w:rPr>
            </w:pPr>
            <w:r>
              <w:rPr>
                <w:rFonts w:hint="eastAsia" w:ascii="仿宋_GB2312"/>
                <w:color w:val="auto"/>
                <w:szCs w:val="30"/>
              </w:rPr>
              <w:t>6.生源地信用助学贷款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hAnsi="黑体"/>
                <w:color w:val="auto"/>
                <w:szCs w:val="30"/>
              </w:rPr>
            </w:pPr>
          </w:p>
        </w:tc>
        <w:tc>
          <w:tcPr>
            <w:tcW w:w="1410" w:type="dxa"/>
            <w:vMerge w:val="continue"/>
            <w:shd w:val="clear" w:color="auto" w:fill="auto"/>
            <w:vAlign w:val="center"/>
          </w:tcPr>
          <w:p>
            <w:pPr>
              <w:snapToGrid w:val="0"/>
              <w:jc w:val="center"/>
              <w:rPr>
                <w:rFonts w:ascii="仿宋_GB2312" w:hAnsi="黑体"/>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7.师范生免费教育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8.退役士兵教育资助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9.</w:t>
            </w:r>
            <w:r>
              <w:rPr>
                <w:rFonts w:hint="eastAsia" w:ascii="仿宋_GB2312"/>
                <w:color w:val="auto"/>
                <w:spacing w:val="-8"/>
                <w:szCs w:val="30"/>
              </w:rPr>
              <w:t>毕业生赴基层单位就业国家助学贷款代偿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10.学生应征入伍服义务兵役国家资助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11.直招士官国家资助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12.高校家庭经济困难新生入学资助项目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13.“雨露</w:t>
            </w:r>
            <w:r>
              <w:rPr>
                <w:rFonts w:ascii="仿宋_GB2312"/>
                <w:color w:val="auto"/>
                <w:szCs w:val="30"/>
              </w:rPr>
              <w:t>计划</w:t>
            </w:r>
            <w:r>
              <w:rPr>
                <w:rFonts w:hint="eastAsia" w:ascii="仿宋_GB2312"/>
                <w:color w:val="auto"/>
                <w:szCs w:val="30"/>
              </w:rPr>
              <w:t>”助学补助</w:t>
            </w:r>
            <w:r>
              <w:rPr>
                <w:rFonts w:hint="eastAsia" w:ascii="仿宋_GB2312"/>
                <w:color w:val="auto"/>
                <w:szCs w:val="30"/>
                <w:lang w:eastAsia="zh-CN"/>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4</w:t>
            </w:r>
            <w:r>
              <w:rPr>
                <w:rFonts w:hint="eastAsia" w:ascii="仿宋_GB2312"/>
                <w:color w:val="auto"/>
                <w:szCs w:val="30"/>
              </w:rPr>
              <w:t>.勤工助学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5</w:t>
            </w:r>
            <w:r>
              <w:rPr>
                <w:rFonts w:hint="eastAsia" w:ascii="仿宋_GB2312"/>
                <w:color w:val="auto"/>
                <w:szCs w:val="30"/>
              </w:rPr>
              <w:t>.学费减免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6</w:t>
            </w:r>
            <w:r>
              <w:rPr>
                <w:rFonts w:hint="eastAsia" w:ascii="仿宋_GB2312"/>
                <w:color w:val="auto"/>
                <w:szCs w:val="30"/>
              </w:rPr>
              <w:t>.校内奖助学金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7</w:t>
            </w:r>
            <w:r>
              <w:rPr>
                <w:rFonts w:hint="eastAsia" w:ascii="仿宋_GB2312"/>
                <w:color w:val="auto"/>
                <w:szCs w:val="30"/>
              </w:rPr>
              <w:t>.特殊困难补助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8</w:t>
            </w:r>
            <w:r>
              <w:rPr>
                <w:rFonts w:hint="eastAsia" w:ascii="仿宋_GB2312"/>
                <w:color w:val="auto"/>
                <w:szCs w:val="30"/>
              </w:rPr>
              <w:t>.新生入学“绿色通道”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restart"/>
            <w:shd w:val="clear" w:color="auto" w:fill="auto"/>
            <w:vAlign w:val="center"/>
          </w:tcPr>
          <w:p>
            <w:pPr>
              <w:snapToGrid w:val="0"/>
              <w:jc w:val="center"/>
              <w:rPr>
                <w:rFonts w:ascii="仿宋_GB2312"/>
                <w:color w:val="auto"/>
                <w:szCs w:val="30"/>
              </w:rPr>
            </w:pPr>
            <w:r>
              <w:rPr>
                <w:rFonts w:hint="eastAsia" w:ascii="仿宋_GB2312"/>
                <w:color w:val="auto"/>
                <w:szCs w:val="30"/>
              </w:rPr>
              <w:t>中等职业</w:t>
            </w:r>
          </w:p>
          <w:p>
            <w:pPr>
              <w:snapToGrid w:val="0"/>
              <w:jc w:val="center"/>
              <w:rPr>
                <w:rFonts w:ascii="仿宋_GB2312"/>
                <w:color w:val="auto"/>
                <w:szCs w:val="30"/>
              </w:rPr>
            </w:pPr>
            <w:r>
              <w:rPr>
                <w:rFonts w:hint="eastAsia" w:ascii="仿宋_GB2312"/>
                <w:color w:val="auto"/>
                <w:szCs w:val="30"/>
              </w:rPr>
              <w:t>教育</w:t>
            </w:r>
          </w:p>
        </w:tc>
        <w:tc>
          <w:tcPr>
            <w:tcW w:w="1410" w:type="dxa"/>
            <w:vMerge w:val="restart"/>
            <w:shd w:val="clear" w:color="auto" w:fill="auto"/>
            <w:vAlign w:val="center"/>
          </w:tcPr>
          <w:p>
            <w:pPr>
              <w:snapToGrid w:val="0"/>
              <w:jc w:val="center"/>
              <w:rPr>
                <w:rFonts w:ascii="仿宋_GB2312"/>
                <w:color w:val="auto"/>
                <w:szCs w:val="30"/>
              </w:rPr>
            </w:pPr>
            <w:r>
              <w:rPr>
                <w:rFonts w:hint="eastAsia" w:ascii="仿宋_GB2312"/>
                <w:color w:val="auto"/>
                <w:szCs w:val="30"/>
              </w:rPr>
              <w:t>中等</w:t>
            </w:r>
          </w:p>
          <w:p>
            <w:pPr>
              <w:snapToGrid w:val="0"/>
              <w:jc w:val="center"/>
              <w:rPr>
                <w:rFonts w:ascii="仿宋_GB2312"/>
                <w:color w:val="auto"/>
                <w:szCs w:val="30"/>
              </w:rPr>
            </w:pPr>
            <w:r>
              <w:rPr>
                <w:rFonts w:hint="eastAsia" w:ascii="仿宋_GB2312"/>
                <w:color w:val="auto"/>
                <w:szCs w:val="30"/>
              </w:rPr>
              <w:t>职业</w:t>
            </w:r>
          </w:p>
          <w:p>
            <w:pPr>
              <w:snapToGrid w:val="0"/>
              <w:jc w:val="center"/>
              <w:rPr>
                <w:rFonts w:ascii="仿宋_GB2312"/>
                <w:color w:val="auto"/>
                <w:szCs w:val="30"/>
              </w:rPr>
            </w:pPr>
            <w:r>
              <w:rPr>
                <w:rFonts w:hint="eastAsia" w:ascii="仿宋_GB2312"/>
                <w:color w:val="auto"/>
                <w:szCs w:val="30"/>
              </w:rPr>
              <w:t>学校</w:t>
            </w:r>
          </w:p>
        </w:tc>
        <w:tc>
          <w:tcPr>
            <w:tcW w:w="5350" w:type="dxa"/>
            <w:vAlign w:val="center"/>
          </w:tcPr>
          <w:p>
            <w:pPr>
              <w:snapToGrid w:val="0"/>
              <w:rPr>
                <w:rFonts w:ascii="仿宋_GB2312"/>
                <w:color w:val="auto"/>
                <w:szCs w:val="30"/>
              </w:rPr>
            </w:pPr>
            <w:r>
              <w:rPr>
                <w:rFonts w:hint="eastAsia" w:ascii="仿宋_GB2312"/>
                <w:color w:val="auto"/>
                <w:szCs w:val="30"/>
              </w:rPr>
              <w:t>1</w:t>
            </w:r>
            <w:r>
              <w:rPr>
                <w:rFonts w:ascii="仿宋_GB2312"/>
                <w:color w:val="auto"/>
                <w:szCs w:val="30"/>
              </w:rPr>
              <w:t>9</w:t>
            </w:r>
            <w:r>
              <w:rPr>
                <w:rFonts w:hint="eastAsia" w:ascii="仿宋_GB2312"/>
                <w:color w:val="auto"/>
                <w:szCs w:val="30"/>
              </w:rPr>
              <w:t>.国家免学费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ascii="仿宋_GB2312"/>
                <w:color w:val="auto"/>
                <w:szCs w:val="30"/>
              </w:rPr>
              <w:t>20</w:t>
            </w:r>
            <w:r>
              <w:rPr>
                <w:rFonts w:hint="eastAsia" w:ascii="仿宋_GB2312"/>
                <w:color w:val="auto"/>
                <w:szCs w:val="30"/>
              </w:rPr>
              <w:t>.国家助学金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2</w:t>
            </w:r>
            <w:r>
              <w:rPr>
                <w:rFonts w:ascii="仿宋_GB2312"/>
                <w:color w:val="auto"/>
                <w:szCs w:val="30"/>
              </w:rPr>
              <w:t>1</w:t>
            </w:r>
            <w:r>
              <w:rPr>
                <w:rFonts w:hint="eastAsia" w:ascii="仿宋_GB2312"/>
                <w:color w:val="auto"/>
                <w:szCs w:val="30"/>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ascii="仿宋_GB2312"/>
                <w:color w:val="auto"/>
                <w:szCs w:val="30"/>
              </w:rPr>
              <w:t>22</w:t>
            </w:r>
            <w:r>
              <w:rPr>
                <w:rFonts w:hint="eastAsia" w:ascii="仿宋_GB2312"/>
                <w:color w:val="auto"/>
                <w:szCs w:val="30"/>
              </w:rPr>
              <w:t>.“雨露</w:t>
            </w:r>
            <w:r>
              <w:rPr>
                <w:rFonts w:ascii="仿宋_GB2312"/>
                <w:color w:val="auto"/>
                <w:szCs w:val="30"/>
              </w:rPr>
              <w:t>计划</w:t>
            </w:r>
            <w:r>
              <w:rPr>
                <w:rFonts w:hint="eastAsia" w:ascii="仿宋_GB2312"/>
                <w:color w:val="auto"/>
                <w:szCs w:val="30"/>
              </w:rPr>
              <w:t>”助学补助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color w:val="auto"/>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2</w:t>
            </w:r>
            <w:r>
              <w:rPr>
                <w:rFonts w:ascii="仿宋_GB2312"/>
                <w:color w:val="auto"/>
                <w:szCs w:val="30"/>
              </w:rPr>
              <w:t>3</w:t>
            </w:r>
            <w:r>
              <w:rPr>
                <w:rFonts w:hint="eastAsia" w:ascii="仿宋_GB2312"/>
                <w:color w:val="auto"/>
                <w:szCs w:val="30"/>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6" w:type="dxa"/>
            <w:vMerge w:val="restart"/>
            <w:shd w:val="clear" w:color="auto" w:fill="auto"/>
            <w:vAlign w:val="center"/>
          </w:tcPr>
          <w:p>
            <w:pPr>
              <w:snapToGrid w:val="0"/>
              <w:rPr>
                <w:rFonts w:ascii="仿宋_GB2312"/>
                <w:szCs w:val="30"/>
              </w:rPr>
            </w:pPr>
            <w:r>
              <w:rPr>
                <w:rFonts w:hint="eastAsia" w:ascii="仿宋_GB2312"/>
                <w:szCs w:val="30"/>
              </w:rPr>
              <w:t>普通高中</w:t>
            </w:r>
          </w:p>
          <w:p>
            <w:pPr>
              <w:snapToGrid w:val="0"/>
              <w:jc w:val="center"/>
              <w:rPr>
                <w:rFonts w:ascii="仿宋_GB2312"/>
                <w:szCs w:val="30"/>
              </w:rPr>
            </w:pPr>
            <w:r>
              <w:rPr>
                <w:rFonts w:hint="eastAsia" w:ascii="仿宋_GB2312"/>
                <w:szCs w:val="30"/>
              </w:rPr>
              <w:t>教育</w:t>
            </w:r>
          </w:p>
        </w:tc>
        <w:tc>
          <w:tcPr>
            <w:tcW w:w="1410" w:type="dxa"/>
            <w:vMerge w:val="restart"/>
            <w:shd w:val="clear" w:color="auto" w:fill="auto"/>
            <w:vAlign w:val="center"/>
          </w:tcPr>
          <w:p>
            <w:pPr>
              <w:snapToGrid w:val="0"/>
              <w:jc w:val="center"/>
              <w:rPr>
                <w:rFonts w:ascii="仿宋_GB2312"/>
                <w:szCs w:val="30"/>
              </w:rPr>
            </w:pPr>
            <w:r>
              <w:rPr>
                <w:rFonts w:hint="eastAsia" w:ascii="仿宋_GB2312"/>
                <w:szCs w:val="30"/>
              </w:rPr>
              <w:t>普通</w:t>
            </w:r>
          </w:p>
          <w:p>
            <w:pPr>
              <w:snapToGrid w:val="0"/>
              <w:jc w:val="center"/>
              <w:rPr>
                <w:rFonts w:ascii="仿宋_GB2312"/>
                <w:szCs w:val="30"/>
              </w:rPr>
            </w:pPr>
            <w:r>
              <w:rPr>
                <w:rFonts w:hint="eastAsia" w:ascii="仿宋_GB2312"/>
                <w:szCs w:val="30"/>
              </w:rPr>
              <w:t>高中</w:t>
            </w:r>
          </w:p>
        </w:tc>
        <w:tc>
          <w:tcPr>
            <w:tcW w:w="5350" w:type="dxa"/>
            <w:vAlign w:val="center"/>
          </w:tcPr>
          <w:p>
            <w:pPr>
              <w:snapToGrid w:val="0"/>
              <w:rPr>
                <w:rFonts w:ascii="仿宋_GB2312"/>
                <w:szCs w:val="30"/>
              </w:rPr>
            </w:pPr>
            <w:r>
              <w:rPr>
                <w:rFonts w:hint="eastAsia" w:ascii="仿宋_GB2312"/>
                <w:szCs w:val="30"/>
              </w:rPr>
              <w:t>2</w:t>
            </w:r>
            <w:r>
              <w:rPr>
                <w:rFonts w:ascii="仿宋_GB2312"/>
                <w:szCs w:val="30"/>
              </w:rPr>
              <w:t>4</w:t>
            </w:r>
            <w:r>
              <w:rPr>
                <w:rFonts w:hint="eastAsia" w:ascii="仿宋_GB2312"/>
                <w:szCs w:val="30"/>
              </w:rPr>
              <w:t>.国家助学金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szCs w:val="30"/>
              </w:rPr>
            </w:pPr>
          </w:p>
        </w:tc>
        <w:tc>
          <w:tcPr>
            <w:tcW w:w="5350" w:type="dxa"/>
            <w:vAlign w:val="center"/>
          </w:tcPr>
          <w:p>
            <w:pPr>
              <w:snapToGrid w:val="0"/>
              <w:rPr>
                <w:rFonts w:ascii="仿宋_GB2312"/>
                <w:szCs w:val="30"/>
              </w:rPr>
            </w:pPr>
            <w:r>
              <w:rPr>
                <w:rFonts w:hint="eastAsia" w:ascii="仿宋_GB2312"/>
                <w:szCs w:val="30"/>
              </w:rPr>
              <w:t>25.免学费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szCs w:val="30"/>
              </w:rPr>
            </w:pPr>
          </w:p>
        </w:tc>
        <w:tc>
          <w:tcPr>
            <w:tcW w:w="5350" w:type="dxa"/>
            <w:vAlign w:val="center"/>
          </w:tcPr>
          <w:p>
            <w:pPr>
              <w:snapToGrid w:val="0"/>
              <w:rPr>
                <w:rFonts w:ascii="仿宋_GB2312"/>
                <w:szCs w:val="30"/>
              </w:rPr>
            </w:pPr>
            <w:r>
              <w:rPr>
                <w:rFonts w:hint="eastAsia" w:ascii="仿宋_GB2312"/>
                <w:szCs w:val="30"/>
              </w:rPr>
              <w:t>26.</w:t>
            </w:r>
            <w:r>
              <w:rPr>
                <w:rFonts w:ascii="仿宋_GB2312"/>
                <w:szCs w:val="30"/>
              </w:rPr>
              <w:t>免住宿费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szCs w:val="30"/>
              </w:rPr>
            </w:pPr>
          </w:p>
        </w:tc>
        <w:tc>
          <w:tcPr>
            <w:tcW w:w="5350" w:type="dxa"/>
            <w:vAlign w:val="center"/>
          </w:tcPr>
          <w:p>
            <w:pPr>
              <w:snapToGrid w:val="0"/>
              <w:rPr>
                <w:rFonts w:ascii="仿宋_GB2312"/>
                <w:szCs w:val="30"/>
              </w:rPr>
            </w:pPr>
            <w:r>
              <w:rPr>
                <w:rFonts w:hint="eastAsia" w:ascii="仿宋_GB2312"/>
                <w:szCs w:val="30"/>
              </w:rPr>
              <w:t>27.校内资助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restart"/>
            <w:shd w:val="clear" w:color="auto" w:fill="auto"/>
            <w:vAlign w:val="center"/>
          </w:tcPr>
          <w:p>
            <w:pPr>
              <w:snapToGrid w:val="0"/>
              <w:jc w:val="center"/>
              <w:rPr>
                <w:rFonts w:ascii="仿宋_GB2312"/>
                <w:szCs w:val="30"/>
              </w:rPr>
            </w:pPr>
            <w:r>
              <w:rPr>
                <w:rFonts w:hint="eastAsia" w:ascii="仿宋_GB2312"/>
                <w:szCs w:val="30"/>
              </w:rPr>
              <w:t>义务教育</w:t>
            </w:r>
          </w:p>
        </w:tc>
        <w:tc>
          <w:tcPr>
            <w:tcW w:w="1410" w:type="dxa"/>
            <w:vMerge w:val="restart"/>
            <w:shd w:val="clear" w:color="auto" w:fill="auto"/>
            <w:vAlign w:val="center"/>
          </w:tcPr>
          <w:p>
            <w:pPr>
              <w:snapToGrid w:val="0"/>
              <w:jc w:val="center"/>
              <w:rPr>
                <w:rFonts w:ascii="仿宋_GB2312"/>
                <w:color w:val="auto"/>
                <w:szCs w:val="30"/>
              </w:rPr>
            </w:pPr>
            <w:r>
              <w:rPr>
                <w:rFonts w:hint="eastAsia" w:ascii="仿宋_GB2312"/>
                <w:color w:val="auto"/>
                <w:szCs w:val="30"/>
              </w:rPr>
              <w:t>初中、</w:t>
            </w:r>
          </w:p>
          <w:p>
            <w:pPr>
              <w:snapToGrid w:val="0"/>
              <w:jc w:val="center"/>
              <w:rPr>
                <w:rFonts w:ascii="仿宋_GB2312"/>
                <w:color w:val="auto"/>
                <w:szCs w:val="30"/>
              </w:rPr>
            </w:pPr>
            <w:r>
              <w:rPr>
                <w:rFonts w:hint="eastAsia" w:ascii="仿宋_GB2312"/>
                <w:color w:val="auto"/>
                <w:szCs w:val="30"/>
              </w:rPr>
              <w:t>小学</w:t>
            </w:r>
          </w:p>
        </w:tc>
        <w:tc>
          <w:tcPr>
            <w:tcW w:w="5350" w:type="dxa"/>
            <w:vAlign w:val="center"/>
          </w:tcPr>
          <w:p>
            <w:pPr>
              <w:snapToGrid w:val="0"/>
              <w:rPr>
                <w:rFonts w:ascii="仿宋_GB2312"/>
                <w:color w:val="auto"/>
                <w:szCs w:val="30"/>
              </w:rPr>
            </w:pPr>
            <w:r>
              <w:rPr>
                <w:rFonts w:hint="eastAsia" w:ascii="仿宋_GB2312"/>
                <w:color w:val="auto"/>
                <w:szCs w:val="30"/>
              </w:rPr>
              <w:t>28.全免费教育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29.寄宿生生活补助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30.国定营养改善计划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31.省定营养改善计划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restart"/>
            <w:shd w:val="clear" w:color="auto" w:fill="auto"/>
            <w:vAlign w:val="center"/>
          </w:tcPr>
          <w:p>
            <w:pPr>
              <w:snapToGrid w:val="0"/>
              <w:jc w:val="center"/>
              <w:rPr>
                <w:rFonts w:ascii="仿宋_GB2312"/>
                <w:szCs w:val="30"/>
              </w:rPr>
            </w:pPr>
            <w:r>
              <w:rPr>
                <w:rFonts w:hint="eastAsia" w:ascii="仿宋_GB2312"/>
                <w:szCs w:val="30"/>
              </w:rPr>
              <w:t>学前教育</w:t>
            </w:r>
          </w:p>
        </w:tc>
        <w:tc>
          <w:tcPr>
            <w:tcW w:w="1410" w:type="dxa"/>
            <w:vMerge w:val="restart"/>
            <w:shd w:val="clear" w:color="auto" w:fill="auto"/>
            <w:vAlign w:val="center"/>
          </w:tcPr>
          <w:p>
            <w:pPr>
              <w:snapToGrid w:val="0"/>
              <w:jc w:val="center"/>
              <w:rPr>
                <w:rFonts w:ascii="仿宋_GB2312"/>
                <w:color w:val="auto"/>
                <w:szCs w:val="30"/>
              </w:rPr>
            </w:pPr>
            <w:r>
              <w:rPr>
                <w:rFonts w:hint="eastAsia" w:ascii="仿宋_GB2312"/>
                <w:color w:val="auto"/>
                <w:szCs w:val="30"/>
              </w:rPr>
              <w:t>幼儿园</w:t>
            </w:r>
          </w:p>
        </w:tc>
        <w:tc>
          <w:tcPr>
            <w:tcW w:w="5350" w:type="dxa"/>
            <w:vAlign w:val="center"/>
          </w:tcPr>
          <w:p>
            <w:pPr>
              <w:snapToGrid w:val="0"/>
              <w:rPr>
                <w:rFonts w:ascii="仿宋_GB2312"/>
                <w:color w:val="auto"/>
                <w:szCs w:val="30"/>
              </w:rPr>
            </w:pPr>
            <w:r>
              <w:rPr>
                <w:rFonts w:ascii="仿宋_GB2312"/>
                <w:color w:val="auto"/>
                <w:szCs w:val="30"/>
              </w:rPr>
              <w:t>3</w:t>
            </w:r>
            <w:r>
              <w:rPr>
                <w:rFonts w:hint="eastAsia" w:ascii="仿宋_GB2312"/>
                <w:color w:val="auto"/>
                <w:szCs w:val="30"/>
              </w:rPr>
              <w:t>2.政府资助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ascii="仿宋_GB2312"/>
                <w:color w:val="auto"/>
                <w:szCs w:val="30"/>
              </w:rPr>
              <w:t>3</w:t>
            </w:r>
            <w:r>
              <w:rPr>
                <w:rFonts w:hint="eastAsia" w:ascii="仿宋_GB2312"/>
                <w:color w:val="auto"/>
                <w:szCs w:val="30"/>
              </w:rPr>
              <w:t>3</w:t>
            </w:r>
            <w:r>
              <w:rPr>
                <w:rFonts w:ascii="仿宋_GB2312"/>
                <w:color w:val="auto"/>
                <w:szCs w:val="30"/>
              </w:rPr>
              <w:t>.保教费补助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hint="eastAsia" w:ascii="仿宋_GB2312"/>
                <w:color w:val="auto"/>
                <w:szCs w:val="30"/>
              </w:rPr>
              <w:t>34.生活费补助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86" w:type="dxa"/>
            <w:vMerge w:val="continue"/>
            <w:shd w:val="clear" w:color="auto" w:fill="auto"/>
            <w:vAlign w:val="center"/>
          </w:tcPr>
          <w:p>
            <w:pPr>
              <w:snapToGrid w:val="0"/>
              <w:jc w:val="center"/>
              <w:rPr>
                <w:rFonts w:ascii="仿宋_GB2312"/>
                <w:szCs w:val="30"/>
              </w:rPr>
            </w:pPr>
          </w:p>
        </w:tc>
        <w:tc>
          <w:tcPr>
            <w:tcW w:w="1410" w:type="dxa"/>
            <w:vMerge w:val="continue"/>
            <w:shd w:val="clear" w:color="auto" w:fill="auto"/>
            <w:vAlign w:val="center"/>
          </w:tcPr>
          <w:p>
            <w:pPr>
              <w:snapToGrid w:val="0"/>
              <w:jc w:val="center"/>
              <w:rPr>
                <w:rFonts w:ascii="仿宋_GB2312"/>
                <w:color w:val="auto"/>
                <w:szCs w:val="30"/>
              </w:rPr>
            </w:pPr>
          </w:p>
        </w:tc>
        <w:tc>
          <w:tcPr>
            <w:tcW w:w="5350" w:type="dxa"/>
            <w:vAlign w:val="center"/>
          </w:tcPr>
          <w:p>
            <w:pPr>
              <w:snapToGrid w:val="0"/>
              <w:rPr>
                <w:rFonts w:ascii="仿宋_GB2312"/>
                <w:color w:val="auto"/>
                <w:szCs w:val="30"/>
              </w:rPr>
            </w:pPr>
            <w:r>
              <w:rPr>
                <w:rFonts w:ascii="仿宋_GB2312"/>
                <w:color w:val="auto"/>
                <w:szCs w:val="30"/>
              </w:rPr>
              <w:t>3</w:t>
            </w:r>
            <w:r>
              <w:rPr>
                <w:rFonts w:hint="eastAsia" w:ascii="仿宋_GB2312"/>
                <w:color w:val="auto"/>
                <w:szCs w:val="30"/>
              </w:rPr>
              <w:t>5</w:t>
            </w:r>
            <w:r>
              <w:rPr>
                <w:rFonts w:ascii="仿宋_GB2312"/>
                <w:color w:val="auto"/>
                <w:szCs w:val="30"/>
              </w:rPr>
              <w:t>.</w:t>
            </w:r>
            <w:r>
              <w:rPr>
                <w:rFonts w:hint="eastAsia" w:ascii="仿宋_GB2312"/>
                <w:color w:val="auto"/>
                <w:szCs w:val="30"/>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shd w:val="clear" w:color="auto" w:fill="auto"/>
            <w:vAlign w:val="center"/>
          </w:tcPr>
          <w:p>
            <w:pPr>
              <w:snapToGrid w:val="0"/>
              <w:jc w:val="center"/>
              <w:rPr>
                <w:rFonts w:ascii="仿宋_GB2312"/>
                <w:szCs w:val="30"/>
              </w:rPr>
            </w:pPr>
            <w:r>
              <w:rPr>
                <w:rFonts w:hint="eastAsia" w:ascii="仿宋_GB2312"/>
                <w:szCs w:val="30"/>
              </w:rPr>
              <w:t>各教育</w:t>
            </w:r>
          </w:p>
          <w:p>
            <w:pPr>
              <w:snapToGrid w:val="0"/>
              <w:jc w:val="center"/>
              <w:rPr>
                <w:rFonts w:ascii="仿宋_GB2312"/>
                <w:szCs w:val="30"/>
              </w:rPr>
            </w:pPr>
            <w:r>
              <w:rPr>
                <w:rFonts w:hint="eastAsia" w:ascii="仿宋_GB2312"/>
                <w:szCs w:val="30"/>
              </w:rPr>
              <w:t>阶段</w:t>
            </w:r>
          </w:p>
        </w:tc>
        <w:tc>
          <w:tcPr>
            <w:tcW w:w="1410" w:type="dxa"/>
            <w:shd w:val="clear" w:color="auto" w:fill="auto"/>
            <w:vAlign w:val="center"/>
          </w:tcPr>
          <w:p>
            <w:pPr>
              <w:snapToGrid w:val="0"/>
              <w:jc w:val="center"/>
              <w:rPr>
                <w:rFonts w:ascii="仿宋_GB2312"/>
                <w:szCs w:val="30"/>
              </w:rPr>
            </w:pPr>
            <w:r>
              <w:rPr>
                <w:rFonts w:hint="eastAsia" w:ascii="仿宋_GB2312"/>
                <w:szCs w:val="30"/>
              </w:rPr>
              <w:t>各级各类学校</w:t>
            </w:r>
          </w:p>
        </w:tc>
        <w:tc>
          <w:tcPr>
            <w:tcW w:w="5350" w:type="dxa"/>
            <w:vAlign w:val="center"/>
          </w:tcPr>
          <w:p>
            <w:pPr>
              <w:snapToGrid w:val="0"/>
              <w:rPr>
                <w:rFonts w:ascii="仿宋_GB2312"/>
                <w:szCs w:val="30"/>
              </w:rPr>
            </w:pPr>
            <w:r>
              <w:rPr>
                <w:rFonts w:ascii="仿宋_GB2312"/>
                <w:szCs w:val="30"/>
              </w:rPr>
              <w:t>3</w:t>
            </w:r>
            <w:r>
              <w:rPr>
                <w:rFonts w:hint="eastAsia" w:ascii="仿宋_GB2312"/>
                <w:szCs w:val="30"/>
              </w:rPr>
              <w:t>6.社会捐助</w:t>
            </w:r>
          </w:p>
        </w:tc>
      </w:tr>
    </w:tbl>
    <w:p>
      <w:pPr>
        <w:snapToGrid w:val="0"/>
        <w:spacing w:line="40" w:lineRule="exact"/>
        <w:rPr>
          <w:rFonts w:ascii="仿宋_GB2312" w:hAnsi="仿宋"/>
          <w:sz w:val="28"/>
          <w:szCs w:val="28"/>
        </w:rPr>
      </w:pPr>
    </w:p>
    <w:p>
      <w:pPr>
        <w:snapToGrid w:val="0"/>
        <w:rPr>
          <w:rFonts w:ascii="黑体" w:hAnsi="黑体" w:eastAsia="黑体"/>
        </w:rPr>
        <w:sectPr>
          <w:footerReference r:id="rId3" w:type="default"/>
          <w:footerReference r:id="rId4" w:type="even"/>
          <w:pgSz w:w="11906" w:h="16838"/>
          <w:pgMar w:top="1928" w:right="1588" w:bottom="1985" w:left="1644" w:header="720" w:footer="720" w:gutter="0"/>
          <w:cols w:space="720" w:num="1"/>
          <w:docGrid w:type="linesAndChars" w:linePitch="618" w:charSpace="-3277"/>
        </w:sectPr>
      </w:pPr>
    </w:p>
    <w:p>
      <w:pPr>
        <w:rPr>
          <w:rFonts w:ascii="黑体" w:hAnsi="黑体" w:eastAsia="黑体" w:cs="宋体"/>
          <w:color w:val="000000"/>
          <w:kern w:val="0"/>
          <w:szCs w:val="30"/>
        </w:rPr>
      </w:pPr>
      <w:r>
        <w:rPr>
          <w:rFonts w:hint="eastAsia" w:ascii="黑体" w:hAnsi="黑体" w:eastAsia="黑体" w:cs="宋体"/>
          <w:color w:val="000000"/>
          <w:kern w:val="0"/>
          <w:szCs w:val="30"/>
        </w:rPr>
        <w:t>附件</w:t>
      </w:r>
      <w:r>
        <w:rPr>
          <w:rFonts w:hint="eastAsia" w:ascii="黑体" w:hAnsi="黑体" w:eastAsia="黑体"/>
          <w:szCs w:val="30"/>
        </w:rPr>
        <w:t>2：</w:t>
      </w:r>
    </w:p>
    <w:p>
      <w:pPr>
        <w:snapToGrid w:val="0"/>
        <w:rPr>
          <w:rFonts w:ascii="黑体" w:hAnsi="黑体" w:eastAsia="黑体" w:cs="宋体"/>
          <w:color w:val="000000"/>
          <w:kern w:val="0"/>
          <w:szCs w:val="30"/>
        </w:rPr>
      </w:pPr>
    </w:p>
    <w:p>
      <w:pPr>
        <w:snapToGrid w:val="0"/>
        <w:jc w:val="center"/>
        <w:rPr>
          <w:rFonts w:eastAsia="方正小标宋简体"/>
          <w:sz w:val="44"/>
          <w:szCs w:val="44"/>
        </w:rPr>
      </w:pPr>
      <w:r>
        <w:rPr>
          <w:rFonts w:eastAsia="方正小标宋简体"/>
          <w:sz w:val="44"/>
          <w:szCs w:val="44"/>
        </w:rPr>
        <w:t>河南省</w:t>
      </w:r>
      <w:r>
        <w:rPr>
          <w:rFonts w:hint="eastAsia" w:eastAsia="方正小标宋简体"/>
          <w:sz w:val="44"/>
          <w:szCs w:val="44"/>
        </w:rPr>
        <w:t>家庭经济困难学生</w:t>
      </w:r>
      <w:r>
        <w:rPr>
          <w:rFonts w:eastAsia="方正小标宋简体"/>
          <w:sz w:val="44"/>
          <w:szCs w:val="44"/>
        </w:rPr>
        <w:t>资助政策明细表</w:t>
      </w:r>
    </w:p>
    <w:p>
      <w:pPr>
        <w:spacing w:after="293" w:afterLines="50"/>
        <w:jc w:val="center"/>
        <w:rPr>
          <w:sz w:val="28"/>
          <w:szCs w:val="28"/>
        </w:rPr>
      </w:pPr>
      <w:r>
        <w:rPr>
          <w:sz w:val="28"/>
          <w:szCs w:val="28"/>
        </w:rPr>
        <w:t>（2017年7月）</w:t>
      </w:r>
    </w:p>
    <w:tbl>
      <w:tblPr>
        <w:tblStyle w:val="9"/>
        <w:tblW w:w="1332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5"/>
        <w:gridCol w:w="2247"/>
        <w:gridCol w:w="3972"/>
        <w:gridCol w:w="1557"/>
        <w:gridCol w:w="1949"/>
        <w:gridCol w:w="1493"/>
        <w:gridCol w:w="13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shd w:val="clear" w:color="auto" w:fill="auto"/>
            <w:vAlign w:val="center"/>
          </w:tcPr>
          <w:p>
            <w:pPr>
              <w:snapToGrid w:val="0"/>
              <w:jc w:val="center"/>
              <w:rPr>
                <w:rFonts w:eastAsia="黑体"/>
                <w:sz w:val="24"/>
                <w:szCs w:val="24"/>
              </w:rPr>
            </w:pPr>
            <w:r>
              <w:rPr>
                <w:rFonts w:hint="eastAsia" w:eastAsia="黑体"/>
                <w:sz w:val="24"/>
                <w:szCs w:val="24"/>
              </w:rPr>
              <w:t>教育</w:t>
            </w:r>
          </w:p>
          <w:p>
            <w:pPr>
              <w:snapToGrid w:val="0"/>
              <w:jc w:val="center"/>
              <w:rPr>
                <w:rFonts w:eastAsia="黑体"/>
                <w:sz w:val="24"/>
                <w:szCs w:val="24"/>
              </w:rPr>
            </w:pPr>
            <w:r>
              <w:rPr>
                <w:rFonts w:hint="eastAsia" w:eastAsia="黑体"/>
                <w:sz w:val="24"/>
                <w:szCs w:val="24"/>
              </w:rPr>
              <w:t>阶段</w:t>
            </w:r>
          </w:p>
        </w:tc>
        <w:tc>
          <w:tcPr>
            <w:tcW w:w="2247" w:type="dxa"/>
            <w:shd w:val="clear" w:color="auto" w:fill="auto"/>
            <w:vAlign w:val="center"/>
          </w:tcPr>
          <w:p>
            <w:pPr>
              <w:snapToGrid w:val="0"/>
              <w:jc w:val="center"/>
              <w:rPr>
                <w:rFonts w:eastAsia="黑体"/>
                <w:sz w:val="24"/>
                <w:szCs w:val="24"/>
              </w:rPr>
            </w:pPr>
            <w:r>
              <w:rPr>
                <w:rFonts w:eastAsia="黑体"/>
                <w:sz w:val="24"/>
                <w:szCs w:val="24"/>
              </w:rPr>
              <w:t>政策</w:t>
            </w:r>
            <w:r>
              <w:rPr>
                <w:rFonts w:hint="eastAsia" w:eastAsia="黑体"/>
                <w:sz w:val="24"/>
                <w:szCs w:val="24"/>
              </w:rPr>
              <w:t>名称</w:t>
            </w:r>
          </w:p>
        </w:tc>
        <w:tc>
          <w:tcPr>
            <w:tcW w:w="3972" w:type="dxa"/>
            <w:shd w:val="clear" w:color="auto" w:fill="auto"/>
            <w:vAlign w:val="center"/>
          </w:tcPr>
          <w:p>
            <w:pPr>
              <w:snapToGrid w:val="0"/>
              <w:jc w:val="center"/>
              <w:rPr>
                <w:rFonts w:eastAsia="黑体"/>
                <w:sz w:val="24"/>
                <w:szCs w:val="24"/>
              </w:rPr>
            </w:pPr>
            <w:r>
              <w:rPr>
                <w:rFonts w:eastAsia="黑体"/>
                <w:sz w:val="24"/>
                <w:szCs w:val="24"/>
              </w:rPr>
              <w:t>资助对象</w:t>
            </w:r>
          </w:p>
        </w:tc>
        <w:tc>
          <w:tcPr>
            <w:tcW w:w="1557" w:type="dxa"/>
            <w:shd w:val="clear" w:color="auto" w:fill="auto"/>
            <w:vAlign w:val="center"/>
          </w:tcPr>
          <w:p>
            <w:pPr>
              <w:snapToGrid w:val="0"/>
              <w:jc w:val="center"/>
              <w:rPr>
                <w:rFonts w:eastAsia="黑体"/>
                <w:sz w:val="24"/>
                <w:szCs w:val="24"/>
              </w:rPr>
            </w:pPr>
            <w:r>
              <w:rPr>
                <w:rFonts w:hint="eastAsia" w:eastAsia="黑体"/>
                <w:sz w:val="24"/>
                <w:szCs w:val="24"/>
              </w:rPr>
              <w:t>资助比例</w:t>
            </w:r>
          </w:p>
        </w:tc>
        <w:tc>
          <w:tcPr>
            <w:tcW w:w="1949" w:type="dxa"/>
            <w:shd w:val="clear" w:color="auto" w:fill="auto"/>
            <w:vAlign w:val="center"/>
          </w:tcPr>
          <w:p>
            <w:pPr>
              <w:snapToGrid w:val="0"/>
              <w:jc w:val="center"/>
              <w:rPr>
                <w:rFonts w:eastAsia="黑体"/>
                <w:sz w:val="24"/>
                <w:szCs w:val="24"/>
              </w:rPr>
            </w:pPr>
            <w:r>
              <w:rPr>
                <w:rFonts w:hint="eastAsia" w:eastAsia="黑体"/>
                <w:sz w:val="24"/>
                <w:szCs w:val="24"/>
              </w:rPr>
              <w:t>资助标准</w:t>
            </w:r>
          </w:p>
        </w:tc>
        <w:tc>
          <w:tcPr>
            <w:tcW w:w="1493" w:type="dxa"/>
            <w:shd w:val="clear" w:color="auto" w:fill="auto"/>
            <w:vAlign w:val="center"/>
          </w:tcPr>
          <w:p>
            <w:pPr>
              <w:snapToGrid w:val="0"/>
              <w:jc w:val="center"/>
              <w:rPr>
                <w:rFonts w:eastAsia="黑体"/>
                <w:sz w:val="24"/>
                <w:szCs w:val="24"/>
              </w:rPr>
            </w:pPr>
            <w:r>
              <w:rPr>
                <w:rFonts w:hint="eastAsia" w:eastAsia="黑体"/>
                <w:sz w:val="24"/>
                <w:szCs w:val="24"/>
              </w:rPr>
              <w:t>资金来源</w:t>
            </w:r>
          </w:p>
        </w:tc>
        <w:tc>
          <w:tcPr>
            <w:tcW w:w="1335" w:type="dxa"/>
            <w:shd w:val="clear" w:color="auto" w:fill="auto"/>
            <w:vAlign w:val="center"/>
          </w:tcPr>
          <w:p>
            <w:pPr>
              <w:snapToGrid w:val="0"/>
              <w:jc w:val="center"/>
              <w:rPr>
                <w:rFonts w:eastAsia="黑体"/>
                <w:sz w:val="24"/>
                <w:szCs w:val="24"/>
              </w:rPr>
            </w:pPr>
            <w:r>
              <w:rPr>
                <w:rFonts w:hint="eastAsia" w:eastAsia="黑体"/>
                <w:sz w:val="24"/>
                <w:szCs w:val="24"/>
              </w:rPr>
              <w:t>政策出台</w:t>
            </w:r>
          </w:p>
          <w:p>
            <w:pPr>
              <w:snapToGrid w:val="0"/>
              <w:jc w:val="center"/>
              <w:rPr>
                <w:rFonts w:eastAsia="黑体"/>
                <w:sz w:val="24"/>
                <w:szCs w:val="24"/>
              </w:rPr>
            </w:pPr>
            <w:r>
              <w:rPr>
                <w:rFonts w:hint="eastAsia" w:eastAsia="黑体"/>
                <w:sz w:val="24"/>
                <w:szCs w:val="24"/>
              </w:rPr>
              <w:t>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restart"/>
            <w:shd w:val="clear" w:color="auto" w:fill="auto"/>
            <w:vAlign w:val="center"/>
          </w:tcPr>
          <w:p>
            <w:pPr>
              <w:snapToGrid w:val="0"/>
              <w:jc w:val="center"/>
              <w:rPr>
                <w:sz w:val="24"/>
                <w:szCs w:val="24"/>
              </w:rPr>
            </w:pPr>
            <w:r>
              <w:rPr>
                <w:rFonts w:hint="eastAsia"/>
                <w:sz w:val="24"/>
                <w:szCs w:val="24"/>
              </w:rPr>
              <w:t>高</w:t>
            </w:r>
          </w:p>
          <w:p>
            <w:pPr>
              <w:snapToGrid w:val="0"/>
              <w:jc w:val="center"/>
              <w:rPr>
                <w:sz w:val="24"/>
                <w:szCs w:val="24"/>
              </w:rPr>
            </w:pPr>
            <w:r>
              <w:rPr>
                <w:rFonts w:hint="eastAsia"/>
                <w:sz w:val="24"/>
                <w:szCs w:val="24"/>
              </w:rPr>
              <w:t>等</w:t>
            </w:r>
          </w:p>
          <w:p>
            <w:pPr>
              <w:snapToGrid w:val="0"/>
              <w:jc w:val="center"/>
              <w:rPr>
                <w:sz w:val="24"/>
                <w:szCs w:val="24"/>
              </w:rPr>
            </w:pPr>
            <w:r>
              <w:rPr>
                <w:rFonts w:hint="eastAsia"/>
                <w:sz w:val="24"/>
                <w:szCs w:val="24"/>
              </w:rPr>
              <w:t>教</w:t>
            </w:r>
          </w:p>
          <w:p>
            <w:pPr>
              <w:snapToGrid w:val="0"/>
              <w:jc w:val="center"/>
              <w:rPr>
                <w:sz w:val="24"/>
                <w:szCs w:val="24"/>
              </w:rPr>
            </w:pPr>
            <w:r>
              <w:rPr>
                <w:rFonts w:hint="eastAsia"/>
                <w:sz w:val="24"/>
                <w:szCs w:val="24"/>
              </w:rPr>
              <w:t>育</w:t>
            </w:r>
          </w:p>
        </w:tc>
        <w:tc>
          <w:tcPr>
            <w:tcW w:w="2247" w:type="dxa"/>
            <w:vMerge w:val="restart"/>
            <w:shd w:val="clear" w:color="auto" w:fill="auto"/>
            <w:vAlign w:val="center"/>
          </w:tcPr>
          <w:p>
            <w:pPr>
              <w:snapToGrid w:val="0"/>
              <w:rPr>
                <w:sz w:val="24"/>
                <w:szCs w:val="24"/>
              </w:rPr>
            </w:pPr>
            <w:r>
              <w:rPr>
                <w:rFonts w:hint="eastAsia"/>
                <w:sz w:val="24"/>
                <w:szCs w:val="24"/>
              </w:rPr>
              <w:t>1.国家助学金</w:t>
            </w:r>
          </w:p>
        </w:tc>
        <w:tc>
          <w:tcPr>
            <w:tcW w:w="3972" w:type="dxa"/>
            <w:shd w:val="clear" w:color="auto" w:fill="auto"/>
            <w:vAlign w:val="center"/>
          </w:tcPr>
          <w:p>
            <w:pPr>
              <w:snapToGrid w:val="0"/>
              <w:rPr>
                <w:sz w:val="24"/>
                <w:szCs w:val="24"/>
              </w:rPr>
            </w:pPr>
            <w:r>
              <w:rPr>
                <w:rFonts w:hint="eastAsia"/>
                <w:sz w:val="24"/>
                <w:szCs w:val="24"/>
              </w:rPr>
              <w:t>1.全日制普通本专科（含高职、第二学士学位）家庭经济困难在校学生</w:t>
            </w:r>
          </w:p>
        </w:tc>
        <w:tc>
          <w:tcPr>
            <w:tcW w:w="1557" w:type="dxa"/>
            <w:shd w:val="clear" w:color="auto" w:fill="auto"/>
            <w:vAlign w:val="center"/>
          </w:tcPr>
          <w:p>
            <w:pPr>
              <w:snapToGrid w:val="0"/>
              <w:rPr>
                <w:sz w:val="24"/>
                <w:szCs w:val="24"/>
              </w:rPr>
            </w:pPr>
            <w:r>
              <w:rPr>
                <w:rFonts w:hint="eastAsia"/>
                <w:sz w:val="24"/>
                <w:szCs w:val="24"/>
              </w:rPr>
              <w:t>在校生约20%</w:t>
            </w:r>
          </w:p>
        </w:tc>
        <w:tc>
          <w:tcPr>
            <w:tcW w:w="1949" w:type="dxa"/>
            <w:shd w:val="clear" w:color="auto" w:fill="auto"/>
            <w:vAlign w:val="center"/>
          </w:tcPr>
          <w:p>
            <w:pPr>
              <w:snapToGrid w:val="0"/>
              <w:rPr>
                <w:sz w:val="24"/>
                <w:szCs w:val="24"/>
              </w:rPr>
            </w:pPr>
            <w:r>
              <w:rPr>
                <w:rFonts w:hint="eastAsia"/>
                <w:sz w:val="24"/>
                <w:szCs w:val="24"/>
              </w:rPr>
              <w:t>每人每年3000元</w:t>
            </w:r>
          </w:p>
        </w:tc>
        <w:tc>
          <w:tcPr>
            <w:tcW w:w="1493" w:type="dxa"/>
            <w:shd w:val="clear" w:color="auto" w:fill="auto"/>
            <w:vAlign w:val="center"/>
          </w:tcPr>
          <w:p>
            <w:pPr>
              <w:snapToGrid w:val="0"/>
              <w:rPr>
                <w:sz w:val="24"/>
                <w:szCs w:val="24"/>
              </w:rPr>
            </w:pPr>
            <w:r>
              <w:rPr>
                <w:rFonts w:hint="eastAsia"/>
                <w:sz w:val="24"/>
                <w:szCs w:val="24"/>
              </w:rPr>
              <w:t>中央财政60%、地方财政40%</w:t>
            </w:r>
          </w:p>
        </w:tc>
        <w:tc>
          <w:tcPr>
            <w:tcW w:w="1335" w:type="dxa"/>
            <w:shd w:val="clear" w:color="auto" w:fill="auto"/>
            <w:vAlign w:val="center"/>
          </w:tcPr>
          <w:p>
            <w:pPr>
              <w:snapToGrid w:val="0"/>
              <w:jc w:val="center"/>
              <w:rPr>
                <w:sz w:val="24"/>
                <w:szCs w:val="24"/>
              </w:rPr>
            </w:pPr>
            <w:r>
              <w:rPr>
                <w:rFonts w:hint="eastAsia"/>
                <w:sz w:val="24"/>
                <w:szCs w:val="24"/>
              </w:rPr>
              <w:t>2007年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 w:hRule="atLeast"/>
          <w:jc w:val="center"/>
        </w:trPr>
        <w:tc>
          <w:tcPr>
            <w:tcW w:w="775" w:type="dxa"/>
            <w:vMerge w:val="continue"/>
            <w:shd w:val="clear" w:color="auto" w:fill="auto"/>
            <w:vAlign w:val="center"/>
          </w:tcPr>
          <w:p>
            <w:pPr>
              <w:snapToGrid w:val="0"/>
              <w:jc w:val="center"/>
              <w:rPr>
                <w:sz w:val="24"/>
                <w:szCs w:val="24"/>
              </w:rPr>
            </w:pPr>
          </w:p>
        </w:tc>
        <w:tc>
          <w:tcPr>
            <w:tcW w:w="2247" w:type="dxa"/>
            <w:vMerge w:val="continue"/>
            <w:shd w:val="clear" w:color="auto" w:fill="auto"/>
            <w:vAlign w:val="center"/>
          </w:tcPr>
          <w:p>
            <w:pPr>
              <w:snapToGrid w:val="0"/>
              <w:rPr>
                <w:sz w:val="24"/>
                <w:szCs w:val="24"/>
              </w:rPr>
            </w:pPr>
          </w:p>
        </w:tc>
        <w:tc>
          <w:tcPr>
            <w:tcW w:w="3972" w:type="dxa"/>
            <w:shd w:val="clear" w:color="auto" w:fill="auto"/>
            <w:vAlign w:val="center"/>
          </w:tcPr>
          <w:p>
            <w:pPr>
              <w:snapToGrid w:val="0"/>
              <w:rPr>
                <w:sz w:val="24"/>
                <w:szCs w:val="24"/>
              </w:rPr>
            </w:pPr>
            <w:r>
              <w:rPr>
                <w:rFonts w:hint="eastAsia"/>
                <w:sz w:val="24"/>
                <w:szCs w:val="24"/>
              </w:rPr>
              <w:t>2.全省普通高等学校纳入全国研究生招生计划的所有全日制研究生（有固定工资收入的除外）</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博士每生每年</w:t>
            </w:r>
            <w:r>
              <w:rPr>
                <w:rFonts w:hint="eastAsia"/>
                <w:color w:val="FF0000"/>
                <w:sz w:val="24"/>
                <w:szCs w:val="24"/>
              </w:rPr>
              <w:t>13000</w:t>
            </w:r>
            <w:r>
              <w:rPr>
                <w:rFonts w:hint="eastAsia"/>
                <w:sz w:val="24"/>
                <w:szCs w:val="24"/>
              </w:rPr>
              <w:t>元，硕士每生每年6000元</w:t>
            </w:r>
          </w:p>
        </w:tc>
        <w:tc>
          <w:tcPr>
            <w:tcW w:w="1493" w:type="dxa"/>
            <w:shd w:val="clear" w:color="auto" w:fill="auto"/>
            <w:vAlign w:val="center"/>
          </w:tcPr>
          <w:p>
            <w:pPr>
              <w:snapToGrid w:val="0"/>
              <w:rPr>
                <w:sz w:val="24"/>
                <w:szCs w:val="24"/>
              </w:rPr>
            </w:pPr>
            <w:r>
              <w:rPr>
                <w:rFonts w:hint="eastAsia"/>
                <w:sz w:val="24"/>
                <w:szCs w:val="24"/>
              </w:rPr>
              <w:t>中央财政60%、地方财政40%</w:t>
            </w:r>
          </w:p>
        </w:tc>
        <w:tc>
          <w:tcPr>
            <w:tcW w:w="1335" w:type="dxa"/>
            <w:shd w:val="clear" w:color="auto" w:fill="auto"/>
            <w:vAlign w:val="center"/>
          </w:tcPr>
          <w:p>
            <w:pPr>
              <w:snapToGrid w:val="0"/>
              <w:jc w:val="center"/>
              <w:rPr>
                <w:sz w:val="24"/>
                <w:szCs w:val="24"/>
              </w:rPr>
            </w:pPr>
            <w:r>
              <w:rPr>
                <w:rFonts w:hint="eastAsia"/>
                <w:sz w:val="24"/>
                <w:szCs w:val="24"/>
              </w:rPr>
              <w:t>2012年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2.国家励志奖学金</w:t>
            </w:r>
          </w:p>
          <w:p>
            <w:pPr>
              <w:snapToGrid w:val="0"/>
              <w:rPr>
                <w:sz w:val="24"/>
                <w:szCs w:val="24"/>
              </w:rPr>
            </w:pPr>
            <w:r>
              <w:rPr>
                <w:rFonts w:hint="eastAsia"/>
                <w:sz w:val="24"/>
                <w:szCs w:val="24"/>
              </w:rPr>
              <w:t>（本专科生）</w:t>
            </w:r>
          </w:p>
        </w:tc>
        <w:tc>
          <w:tcPr>
            <w:tcW w:w="3972" w:type="dxa"/>
            <w:shd w:val="clear" w:color="auto" w:fill="auto"/>
            <w:vAlign w:val="center"/>
          </w:tcPr>
          <w:p>
            <w:pPr>
              <w:snapToGrid w:val="0"/>
              <w:rPr>
                <w:sz w:val="24"/>
                <w:szCs w:val="24"/>
              </w:rPr>
            </w:pPr>
            <w:r>
              <w:rPr>
                <w:rFonts w:hint="eastAsia"/>
                <w:sz w:val="24"/>
                <w:szCs w:val="24"/>
              </w:rPr>
              <w:t>二年级以上（含二年级）家庭经济困难且品学兼优的全日制普通本专科（含高职、第二学士学位）在校生</w:t>
            </w:r>
          </w:p>
        </w:tc>
        <w:tc>
          <w:tcPr>
            <w:tcW w:w="1557" w:type="dxa"/>
            <w:shd w:val="clear" w:color="auto" w:fill="auto"/>
            <w:vAlign w:val="center"/>
          </w:tcPr>
          <w:p>
            <w:pPr>
              <w:snapToGrid w:val="0"/>
              <w:rPr>
                <w:sz w:val="24"/>
                <w:szCs w:val="24"/>
              </w:rPr>
            </w:pPr>
            <w:r>
              <w:rPr>
                <w:rFonts w:hint="eastAsia"/>
                <w:sz w:val="24"/>
                <w:szCs w:val="24"/>
              </w:rPr>
              <w:t>在校生约3%</w:t>
            </w:r>
          </w:p>
        </w:tc>
        <w:tc>
          <w:tcPr>
            <w:tcW w:w="1949" w:type="dxa"/>
            <w:shd w:val="clear" w:color="auto" w:fill="auto"/>
            <w:vAlign w:val="center"/>
          </w:tcPr>
          <w:p>
            <w:pPr>
              <w:snapToGrid w:val="0"/>
              <w:rPr>
                <w:sz w:val="24"/>
                <w:szCs w:val="24"/>
              </w:rPr>
            </w:pPr>
            <w:r>
              <w:rPr>
                <w:rFonts w:hint="eastAsia"/>
                <w:sz w:val="24"/>
                <w:szCs w:val="24"/>
              </w:rPr>
              <w:t>每人每年5000元</w:t>
            </w:r>
          </w:p>
        </w:tc>
        <w:tc>
          <w:tcPr>
            <w:tcW w:w="1493" w:type="dxa"/>
            <w:shd w:val="clear" w:color="auto" w:fill="auto"/>
            <w:vAlign w:val="center"/>
          </w:tcPr>
          <w:p>
            <w:pPr>
              <w:snapToGrid w:val="0"/>
              <w:rPr>
                <w:sz w:val="24"/>
                <w:szCs w:val="24"/>
              </w:rPr>
            </w:pPr>
            <w:r>
              <w:rPr>
                <w:rFonts w:hint="eastAsia"/>
                <w:sz w:val="24"/>
                <w:szCs w:val="24"/>
              </w:rPr>
              <w:t>中央财政60%、地方财政40%</w:t>
            </w:r>
          </w:p>
        </w:tc>
        <w:tc>
          <w:tcPr>
            <w:tcW w:w="1335" w:type="dxa"/>
            <w:shd w:val="clear" w:color="auto" w:fill="auto"/>
            <w:vAlign w:val="center"/>
          </w:tcPr>
          <w:p>
            <w:pPr>
              <w:snapToGrid w:val="0"/>
              <w:jc w:val="center"/>
              <w:rPr>
                <w:sz w:val="24"/>
                <w:szCs w:val="24"/>
              </w:rPr>
            </w:pPr>
            <w:r>
              <w:rPr>
                <w:rFonts w:hint="eastAsia"/>
                <w:sz w:val="24"/>
                <w:szCs w:val="24"/>
              </w:rPr>
              <w:t>2007年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vMerge w:val="restart"/>
            <w:shd w:val="clear" w:color="auto" w:fill="auto"/>
            <w:vAlign w:val="center"/>
          </w:tcPr>
          <w:p>
            <w:pPr>
              <w:snapToGrid w:val="0"/>
              <w:rPr>
                <w:sz w:val="24"/>
                <w:szCs w:val="24"/>
              </w:rPr>
            </w:pPr>
            <w:r>
              <w:rPr>
                <w:sz w:val="24"/>
                <w:szCs w:val="24"/>
              </w:rPr>
              <w:t>3.国家奖学金</w:t>
            </w:r>
          </w:p>
        </w:tc>
        <w:tc>
          <w:tcPr>
            <w:tcW w:w="3972" w:type="dxa"/>
            <w:shd w:val="clear" w:color="auto" w:fill="auto"/>
            <w:vAlign w:val="center"/>
          </w:tcPr>
          <w:p>
            <w:pPr>
              <w:snapToGrid w:val="0"/>
              <w:rPr>
                <w:sz w:val="24"/>
                <w:szCs w:val="24"/>
              </w:rPr>
            </w:pPr>
            <w:r>
              <w:rPr>
                <w:rFonts w:hint="eastAsia"/>
                <w:sz w:val="24"/>
                <w:szCs w:val="24"/>
              </w:rPr>
              <w:t>1.二年级以上（含）在校期间学习成绩优异或社会实践、创新能力、综合素质等方面特别突出的全日制普通本专科</w:t>
            </w:r>
            <w:r>
              <w:rPr>
                <w:rFonts w:hint="eastAsia"/>
                <w:spacing w:val="-20"/>
                <w:sz w:val="24"/>
                <w:szCs w:val="24"/>
              </w:rPr>
              <w:t>（含高职、第二学士学位）</w:t>
            </w:r>
            <w:r>
              <w:rPr>
                <w:rFonts w:hint="eastAsia"/>
                <w:sz w:val="24"/>
                <w:szCs w:val="24"/>
              </w:rPr>
              <w:t>在校生</w:t>
            </w:r>
          </w:p>
        </w:tc>
        <w:tc>
          <w:tcPr>
            <w:tcW w:w="1557" w:type="dxa"/>
            <w:shd w:val="clear" w:color="auto" w:fill="auto"/>
            <w:vAlign w:val="center"/>
          </w:tcPr>
          <w:p>
            <w:pPr>
              <w:snapToGrid w:val="0"/>
              <w:rPr>
                <w:sz w:val="24"/>
                <w:szCs w:val="24"/>
              </w:rPr>
            </w:pPr>
            <w:r>
              <w:rPr>
                <w:rFonts w:hint="eastAsia"/>
                <w:sz w:val="24"/>
                <w:szCs w:val="24"/>
              </w:rPr>
              <w:t>全省每年约2000人</w:t>
            </w:r>
          </w:p>
        </w:tc>
        <w:tc>
          <w:tcPr>
            <w:tcW w:w="1949" w:type="dxa"/>
            <w:shd w:val="clear" w:color="auto" w:fill="auto"/>
            <w:vAlign w:val="center"/>
          </w:tcPr>
          <w:p>
            <w:pPr>
              <w:snapToGrid w:val="0"/>
              <w:rPr>
                <w:sz w:val="24"/>
                <w:szCs w:val="24"/>
              </w:rPr>
            </w:pPr>
            <w:r>
              <w:rPr>
                <w:rFonts w:hint="eastAsia"/>
                <w:sz w:val="24"/>
                <w:szCs w:val="24"/>
              </w:rPr>
              <w:t>每人每年8000元</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2007年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vMerge w:val="continue"/>
            <w:shd w:val="clear" w:color="auto" w:fill="auto"/>
            <w:vAlign w:val="center"/>
          </w:tcPr>
          <w:p>
            <w:pPr>
              <w:snapToGrid w:val="0"/>
              <w:rPr>
                <w:sz w:val="24"/>
                <w:szCs w:val="24"/>
              </w:rPr>
            </w:pPr>
          </w:p>
        </w:tc>
        <w:tc>
          <w:tcPr>
            <w:tcW w:w="3972" w:type="dxa"/>
            <w:shd w:val="clear" w:color="auto" w:fill="auto"/>
            <w:vAlign w:val="center"/>
          </w:tcPr>
          <w:p>
            <w:pPr>
              <w:snapToGrid w:val="0"/>
              <w:rPr>
                <w:sz w:val="24"/>
                <w:szCs w:val="24"/>
              </w:rPr>
            </w:pPr>
            <w:r>
              <w:rPr>
                <w:sz w:val="24"/>
                <w:szCs w:val="24"/>
              </w:rPr>
              <w:t>2.普通高等学校中表现优异的全日制研究生</w:t>
            </w:r>
          </w:p>
        </w:tc>
        <w:tc>
          <w:tcPr>
            <w:tcW w:w="1557" w:type="dxa"/>
            <w:shd w:val="clear" w:color="auto" w:fill="auto"/>
            <w:vAlign w:val="center"/>
          </w:tcPr>
          <w:p>
            <w:pPr>
              <w:snapToGrid w:val="0"/>
              <w:rPr>
                <w:sz w:val="24"/>
                <w:szCs w:val="24"/>
              </w:rPr>
            </w:pPr>
            <w:r>
              <w:rPr>
                <w:rFonts w:hint="eastAsia"/>
                <w:sz w:val="24"/>
                <w:szCs w:val="24"/>
              </w:rPr>
              <w:t>全国每年博士1万名、硕士3.5万名</w:t>
            </w:r>
          </w:p>
        </w:tc>
        <w:tc>
          <w:tcPr>
            <w:tcW w:w="1949" w:type="dxa"/>
            <w:shd w:val="clear" w:color="auto" w:fill="auto"/>
            <w:vAlign w:val="center"/>
          </w:tcPr>
          <w:p>
            <w:pPr>
              <w:snapToGrid w:val="0"/>
              <w:rPr>
                <w:sz w:val="24"/>
                <w:szCs w:val="24"/>
              </w:rPr>
            </w:pPr>
            <w:r>
              <w:rPr>
                <w:rFonts w:hint="eastAsia"/>
                <w:sz w:val="24"/>
                <w:szCs w:val="24"/>
              </w:rPr>
              <w:t>博士每生每年30000元，硕士每生每年20000元</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2012年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restart"/>
            <w:shd w:val="clear" w:color="auto" w:fill="auto"/>
            <w:vAlign w:val="center"/>
          </w:tcPr>
          <w:p>
            <w:pPr>
              <w:snapToGrid w:val="0"/>
              <w:jc w:val="center"/>
              <w:rPr>
                <w:sz w:val="24"/>
                <w:szCs w:val="24"/>
              </w:rPr>
            </w:pPr>
            <w:r>
              <w:rPr>
                <w:rFonts w:hint="eastAsia"/>
                <w:sz w:val="24"/>
                <w:szCs w:val="24"/>
              </w:rPr>
              <w:t>高</w:t>
            </w:r>
          </w:p>
          <w:p>
            <w:pPr>
              <w:snapToGrid w:val="0"/>
              <w:jc w:val="center"/>
              <w:rPr>
                <w:sz w:val="24"/>
                <w:szCs w:val="24"/>
              </w:rPr>
            </w:pPr>
            <w:r>
              <w:rPr>
                <w:rFonts w:hint="eastAsia"/>
                <w:sz w:val="24"/>
                <w:szCs w:val="24"/>
              </w:rPr>
              <w:t>等</w:t>
            </w:r>
          </w:p>
          <w:p>
            <w:pPr>
              <w:snapToGrid w:val="0"/>
              <w:jc w:val="center"/>
              <w:rPr>
                <w:sz w:val="24"/>
                <w:szCs w:val="24"/>
              </w:rPr>
            </w:pPr>
            <w:r>
              <w:rPr>
                <w:rFonts w:hint="eastAsia"/>
                <w:sz w:val="24"/>
                <w:szCs w:val="24"/>
              </w:rPr>
              <w:t>教</w:t>
            </w:r>
          </w:p>
          <w:p>
            <w:pPr>
              <w:snapToGrid w:val="0"/>
              <w:jc w:val="center"/>
              <w:rPr>
                <w:sz w:val="24"/>
                <w:szCs w:val="24"/>
              </w:rPr>
            </w:pPr>
            <w:r>
              <w:rPr>
                <w:rFonts w:hint="eastAsia"/>
                <w:sz w:val="24"/>
                <w:szCs w:val="24"/>
              </w:rPr>
              <w:t>育</w:t>
            </w:r>
          </w:p>
        </w:tc>
        <w:tc>
          <w:tcPr>
            <w:tcW w:w="2247" w:type="dxa"/>
            <w:shd w:val="clear" w:color="auto" w:fill="auto"/>
            <w:vAlign w:val="center"/>
          </w:tcPr>
          <w:p>
            <w:pPr>
              <w:snapToGrid w:val="0"/>
              <w:rPr>
                <w:sz w:val="24"/>
                <w:szCs w:val="24"/>
              </w:rPr>
            </w:pPr>
            <w:r>
              <w:rPr>
                <w:sz w:val="24"/>
                <w:szCs w:val="24"/>
              </w:rPr>
              <w:t>4.学业奖学金</w:t>
            </w:r>
          </w:p>
          <w:p>
            <w:pPr>
              <w:snapToGrid w:val="0"/>
              <w:rPr>
                <w:sz w:val="24"/>
                <w:szCs w:val="24"/>
              </w:rPr>
            </w:pPr>
            <w:r>
              <w:rPr>
                <w:sz w:val="24"/>
                <w:szCs w:val="24"/>
              </w:rPr>
              <w:t>（</w:t>
            </w:r>
            <w:r>
              <w:rPr>
                <w:rFonts w:hint="eastAsia"/>
                <w:sz w:val="24"/>
                <w:szCs w:val="24"/>
              </w:rPr>
              <w:t>研究生</w:t>
            </w:r>
            <w:r>
              <w:rPr>
                <w:sz w:val="24"/>
                <w:szCs w:val="24"/>
              </w:rPr>
              <w:t>）</w:t>
            </w:r>
          </w:p>
        </w:tc>
        <w:tc>
          <w:tcPr>
            <w:tcW w:w="3972" w:type="dxa"/>
            <w:shd w:val="clear" w:color="auto" w:fill="auto"/>
            <w:vAlign w:val="center"/>
          </w:tcPr>
          <w:p>
            <w:pPr>
              <w:snapToGrid w:val="0"/>
              <w:rPr>
                <w:sz w:val="24"/>
                <w:szCs w:val="24"/>
              </w:rPr>
            </w:pPr>
            <w:r>
              <w:rPr>
                <w:rFonts w:hint="eastAsia"/>
                <w:sz w:val="24"/>
                <w:szCs w:val="24"/>
              </w:rPr>
              <w:t>省属高校纳入全国研究生招生计划的全日制研究生</w:t>
            </w:r>
          </w:p>
        </w:tc>
        <w:tc>
          <w:tcPr>
            <w:tcW w:w="1557" w:type="dxa"/>
            <w:shd w:val="clear" w:color="auto" w:fill="auto"/>
            <w:vAlign w:val="center"/>
          </w:tcPr>
          <w:p>
            <w:pPr>
              <w:snapToGrid w:val="0"/>
              <w:rPr>
                <w:sz w:val="24"/>
                <w:szCs w:val="24"/>
              </w:rPr>
            </w:pPr>
            <w:r>
              <w:rPr>
                <w:rFonts w:hint="eastAsia"/>
                <w:sz w:val="24"/>
                <w:szCs w:val="24"/>
              </w:rPr>
              <w:t>博士70%、硕士40%</w:t>
            </w:r>
          </w:p>
        </w:tc>
        <w:tc>
          <w:tcPr>
            <w:tcW w:w="1949" w:type="dxa"/>
            <w:shd w:val="clear" w:color="auto" w:fill="auto"/>
            <w:vAlign w:val="center"/>
          </w:tcPr>
          <w:p>
            <w:pPr>
              <w:snapToGrid w:val="0"/>
              <w:rPr>
                <w:sz w:val="24"/>
                <w:szCs w:val="24"/>
              </w:rPr>
            </w:pPr>
            <w:r>
              <w:rPr>
                <w:rFonts w:hint="eastAsia"/>
                <w:sz w:val="24"/>
                <w:szCs w:val="24"/>
              </w:rPr>
              <w:t>博士每生每年10000元，硕士每生每年8000元</w:t>
            </w:r>
          </w:p>
        </w:tc>
        <w:tc>
          <w:tcPr>
            <w:tcW w:w="1493" w:type="dxa"/>
            <w:shd w:val="clear" w:color="auto" w:fill="auto"/>
            <w:vAlign w:val="center"/>
          </w:tcPr>
          <w:p>
            <w:pPr>
              <w:snapToGrid w:val="0"/>
              <w:rPr>
                <w:sz w:val="24"/>
                <w:szCs w:val="24"/>
              </w:rPr>
            </w:pPr>
            <w:r>
              <w:rPr>
                <w:rFonts w:hint="eastAsia"/>
                <w:sz w:val="24"/>
                <w:szCs w:val="24"/>
              </w:rPr>
              <w:t>地方财政</w:t>
            </w:r>
          </w:p>
        </w:tc>
        <w:tc>
          <w:tcPr>
            <w:tcW w:w="1335" w:type="dxa"/>
            <w:shd w:val="clear" w:color="auto" w:fill="auto"/>
            <w:vAlign w:val="center"/>
          </w:tcPr>
          <w:p>
            <w:pPr>
              <w:snapToGrid w:val="0"/>
              <w:jc w:val="center"/>
              <w:rPr>
                <w:sz w:val="24"/>
                <w:szCs w:val="24"/>
              </w:rPr>
            </w:pPr>
            <w:r>
              <w:rPr>
                <w:rFonts w:hint="eastAsia"/>
                <w:sz w:val="24"/>
                <w:szCs w:val="24"/>
              </w:rPr>
              <w:t>2013年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vMerge w:val="restart"/>
            <w:shd w:val="clear" w:color="auto" w:fill="auto"/>
            <w:vAlign w:val="center"/>
          </w:tcPr>
          <w:p>
            <w:pPr>
              <w:snapToGrid w:val="0"/>
              <w:rPr>
                <w:sz w:val="24"/>
                <w:szCs w:val="24"/>
              </w:rPr>
            </w:pPr>
            <w:r>
              <w:rPr>
                <w:sz w:val="24"/>
                <w:szCs w:val="24"/>
              </w:rPr>
              <w:t>5.校园地助学贷款</w:t>
            </w:r>
          </w:p>
          <w:p>
            <w:pPr>
              <w:snapToGrid w:val="0"/>
              <w:rPr>
                <w:sz w:val="24"/>
                <w:szCs w:val="24"/>
              </w:rPr>
            </w:pPr>
            <w:r>
              <w:rPr>
                <w:sz w:val="24"/>
                <w:szCs w:val="24"/>
              </w:rPr>
              <w:t>（高校国家助学贷款）</w:t>
            </w:r>
          </w:p>
        </w:tc>
        <w:tc>
          <w:tcPr>
            <w:tcW w:w="3972" w:type="dxa"/>
            <w:shd w:val="clear" w:color="auto" w:fill="auto"/>
            <w:vAlign w:val="center"/>
          </w:tcPr>
          <w:p>
            <w:pPr>
              <w:snapToGrid w:val="0"/>
              <w:rPr>
                <w:sz w:val="24"/>
                <w:szCs w:val="24"/>
              </w:rPr>
            </w:pPr>
            <w:r>
              <w:rPr>
                <w:rFonts w:hint="eastAsia"/>
                <w:sz w:val="24"/>
                <w:szCs w:val="24"/>
              </w:rPr>
              <w:t>1.普通高校、科研院所、党校、行政学院、会计学院等培养单位的家庭经济困难的全日制学生（含本专科生、高职生、预科生、第二学士学位学生）</w:t>
            </w:r>
          </w:p>
        </w:tc>
        <w:tc>
          <w:tcPr>
            <w:tcW w:w="1557" w:type="dxa"/>
            <w:shd w:val="clear" w:color="auto" w:fill="auto"/>
            <w:vAlign w:val="center"/>
          </w:tcPr>
          <w:p>
            <w:pPr>
              <w:snapToGrid w:val="0"/>
              <w:rPr>
                <w:sz w:val="24"/>
                <w:szCs w:val="24"/>
              </w:rPr>
            </w:pPr>
            <w:r>
              <w:rPr>
                <w:rFonts w:hint="eastAsia"/>
                <w:sz w:val="24"/>
                <w:szCs w:val="24"/>
              </w:rPr>
              <w:t>应贷尽贷</w:t>
            </w:r>
          </w:p>
        </w:tc>
        <w:tc>
          <w:tcPr>
            <w:tcW w:w="1949" w:type="dxa"/>
            <w:shd w:val="clear" w:color="auto" w:fill="auto"/>
            <w:vAlign w:val="center"/>
          </w:tcPr>
          <w:p>
            <w:pPr>
              <w:snapToGrid w:val="0"/>
              <w:rPr>
                <w:w w:val="85"/>
                <w:sz w:val="24"/>
                <w:szCs w:val="24"/>
              </w:rPr>
            </w:pPr>
            <w:r>
              <w:rPr>
                <w:rFonts w:hint="eastAsia"/>
                <w:spacing w:val="-20"/>
                <w:w w:val="85"/>
                <w:sz w:val="24"/>
                <w:szCs w:val="24"/>
              </w:rPr>
              <w:t>按学费、住宿费实际金额总和确定，最高不超过8000元/人</w:t>
            </w:r>
            <w:r>
              <w:rPr>
                <w:spacing w:val="-20"/>
                <w:w w:val="85"/>
                <w:sz w:val="24"/>
                <w:szCs w:val="24"/>
              </w:rPr>
              <w:t>•</w:t>
            </w:r>
            <w:r>
              <w:rPr>
                <w:rFonts w:hint="eastAsia"/>
                <w:spacing w:val="-20"/>
                <w:w w:val="85"/>
                <w:sz w:val="24"/>
                <w:szCs w:val="24"/>
              </w:rPr>
              <w:t>年；贷款期限为剩余学制加13年，最长不超过20年</w:t>
            </w:r>
          </w:p>
        </w:tc>
        <w:tc>
          <w:tcPr>
            <w:tcW w:w="1493" w:type="dxa"/>
            <w:shd w:val="clear" w:color="auto" w:fill="auto"/>
            <w:vAlign w:val="center"/>
          </w:tcPr>
          <w:p>
            <w:pPr>
              <w:snapToGrid w:val="0"/>
              <w:rPr>
                <w:spacing w:val="-20"/>
                <w:sz w:val="24"/>
                <w:szCs w:val="24"/>
              </w:rPr>
            </w:pPr>
            <w:r>
              <w:rPr>
                <w:rFonts w:hint="eastAsia"/>
                <w:spacing w:val="-20"/>
                <w:sz w:val="24"/>
                <w:szCs w:val="24"/>
              </w:rPr>
              <w:t>国家开发银行贷款，财政贴息，财政和高校安排风险补偿金</w:t>
            </w:r>
          </w:p>
        </w:tc>
        <w:tc>
          <w:tcPr>
            <w:tcW w:w="1335" w:type="dxa"/>
            <w:shd w:val="clear" w:color="auto" w:fill="auto"/>
            <w:vAlign w:val="center"/>
          </w:tcPr>
          <w:p>
            <w:pPr>
              <w:snapToGrid w:val="0"/>
              <w:jc w:val="center"/>
              <w:rPr>
                <w:sz w:val="24"/>
                <w:szCs w:val="24"/>
              </w:rPr>
            </w:pPr>
            <w:r>
              <w:rPr>
                <w:rFonts w:hint="eastAsia"/>
                <w:sz w:val="24"/>
                <w:szCs w:val="24"/>
              </w:rPr>
              <w:t>2000年实施；</w:t>
            </w:r>
          </w:p>
          <w:p>
            <w:pPr>
              <w:snapToGrid w:val="0"/>
              <w:jc w:val="center"/>
              <w:rPr>
                <w:sz w:val="24"/>
                <w:szCs w:val="24"/>
              </w:rPr>
            </w:pPr>
            <w:r>
              <w:rPr>
                <w:rFonts w:hint="eastAsia"/>
                <w:sz w:val="24"/>
                <w:szCs w:val="24"/>
              </w:rPr>
              <w:t>2004年新机制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vMerge w:val="continue"/>
            <w:shd w:val="clear" w:color="auto" w:fill="auto"/>
            <w:vAlign w:val="center"/>
          </w:tcPr>
          <w:p>
            <w:pPr>
              <w:snapToGrid w:val="0"/>
              <w:rPr>
                <w:sz w:val="24"/>
                <w:szCs w:val="24"/>
              </w:rPr>
            </w:pPr>
          </w:p>
        </w:tc>
        <w:tc>
          <w:tcPr>
            <w:tcW w:w="3972" w:type="dxa"/>
            <w:shd w:val="clear" w:color="auto" w:fill="auto"/>
            <w:vAlign w:val="center"/>
          </w:tcPr>
          <w:p>
            <w:pPr>
              <w:snapToGrid w:val="0"/>
              <w:rPr>
                <w:sz w:val="24"/>
                <w:szCs w:val="24"/>
              </w:rPr>
            </w:pPr>
            <w:r>
              <w:rPr>
                <w:rFonts w:hint="eastAsia"/>
                <w:sz w:val="24"/>
                <w:szCs w:val="24"/>
              </w:rPr>
              <w:t>2.普通高校、科研院所、党校、行政学院、会计学院等培养单位的家庭经济困难的全日制研究生</w:t>
            </w:r>
          </w:p>
        </w:tc>
        <w:tc>
          <w:tcPr>
            <w:tcW w:w="1557" w:type="dxa"/>
            <w:shd w:val="clear" w:color="auto" w:fill="auto"/>
            <w:vAlign w:val="center"/>
          </w:tcPr>
          <w:p>
            <w:pPr>
              <w:snapToGrid w:val="0"/>
              <w:rPr>
                <w:sz w:val="24"/>
                <w:szCs w:val="24"/>
              </w:rPr>
            </w:pPr>
            <w:r>
              <w:rPr>
                <w:rFonts w:hint="eastAsia"/>
                <w:sz w:val="24"/>
                <w:szCs w:val="24"/>
              </w:rPr>
              <w:t>应贷尽贷</w:t>
            </w:r>
          </w:p>
        </w:tc>
        <w:tc>
          <w:tcPr>
            <w:tcW w:w="1949" w:type="dxa"/>
            <w:shd w:val="clear" w:color="auto" w:fill="auto"/>
            <w:vAlign w:val="center"/>
          </w:tcPr>
          <w:p>
            <w:pPr>
              <w:snapToGrid w:val="0"/>
              <w:rPr>
                <w:w w:val="85"/>
                <w:sz w:val="24"/>
                <w:szCs w:val="24"/>
              </w:rPr>
            </w:pPr>
            <w:r>
              <w:rPr>
                <w:rFonts w:hint="eastAsia"/>
                <w:spacing w:val="-20"/>
                <w:w w:val="85"/>
                <w:sz w:val="24"/>
                <w:szCs w:val="24"/>
              </w:rPr>
              <w:t>按学费、住宿费实际金额总和确定，最高不超过12000元/人</w:t>
            </w:r>
            <w:r>
              <w:rPr>
                <w:spacing w:val="-20"/>
                <w:w w:val="85"/>
                <w:sz w:val="24"/>
                <w:szCs w:val="24"/>
              </w:rPr>
              <w:t>•</w:t>
            </w:r>
            <w:r>
              <w:rPr>
                <w:rFonts w:hint="eastAsia"/>
                <w:spacing w:val="-20"/>
                <w:w w:val="85"/>
                <w:sz w:val="24"/>
                <w:szCs w:val="24"/>
              </w:rPr>
              <w:t>年；贷款期限为剩余学制加13年，最长不超过20年</w:t>
            </w:r>
          </w:p>
        </w:tc>
        <w:tc>
          <w:tcPr>
            <w:tcW w:w="1493" w:type="dxa"/>
            <w:shd w:val="clear" w:color="auto" w:fill="auto"/>
            <w:vAlign w:val="center"/>
          </w:tcPr>
          <w:p>
            <w:pPr>
              <w:snapToGrid w:val="0"/>
              <w:rPr>
                <w:sz w:val="24"/>
                <w:szCs w:val="24"/>
              </w:rPr>
            </w:pPr>
            <w:r>
              <w:rPr>
                <w:rFonts w:hint="eastAsia"/>
                <w:sz w:val="24"/>
                <w:szCs w:val="24"/>
              </w:rPr>
              <w:t>同上</w:t>
            </w:r>
          </w:p>
        </w:tc>
        <w:tc>
          <w:tcPr>
            <w:tcW w:w="1335" w:type="dxa"/>
            <w:shd w:val="clear" w:color="auto" w:fill="auto"/>
            <w:vAlign w:val="center"/>
          </w:tcPr>
          <w:p>
            <w:pPr>
              <w:snapToGrid w:val="0"/>
              <w:jc w:val="center"/>
              <w:rPr>
                <w:sz w:val="24"/>
                <w:szCs w:val="24"/>
              </w:rPr>
            </w:pPr>
            <w:r>
              <w:rPr>
                <w:rFonts w:hint="eastAsia"/>
                <w:sz w:val="24"/>
                <w:szCs w:val="24"/>
              </w:rPr>
              <w:t>2000年实施；</w:t>
            </w:r>
          </w:p>
          <w:p>
            <w:pPr>
              <w:snapToGrid w:val="0"/>
              <w:jc w:val="center"/>
              <w:rPr>
                <w:sz w:val="24"/>
                <w:szCs w:val="24"/>
              </w:rPr>
            </w:pPr>
            <w:r>
              <w:rPr>
                <w:rFonts w:hint="eastAsia"/>
                <w:sz w:val="24"/>
                <w:szCs w:val="24"/>
              </w:rPr>
              <w:t>2004年新机制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vMerge w:val="restart"/>
            <w:shd w:val="clear" w:color="auto" w:fill="auto"/>
            <w:vAlign w:val="center"/>
          </w:tcPr>
          <w:p>
            <w:pPr>
              <w:snapToGrid w:val="0"/>
              <w:rPr>
                <w:sz w:val="24"/>
                <w:szCs w:val="24"/>
              </w:rPr>
            </w:pPr>
            <w:r>
              <w:rPr>
                <w:sz w:val="24"/>
                <w:szCs w:val="24"/>
              </w:rPr>
              <w:t>6</w:t>
            </w:r>
            <w:r>
              <w:rPr>
                <w:rFonts w:hint="eastAsia"/>
                <w:sz w:val="24"/>
                <w:szCs w:val="24"/>
              </w:rPr>
              <w:t>.生源地信用助学贷款</w:t>
            </w:r>
          </w:p>
        </w:tc>
        <w:tc>
          <w:tcPr>
            <w:tcW w:w="3972" w:type="dxa"/>
            <w:shd w:val="clear" w:color="auto" w:fill="auto"/>
            <w:vAlign w:val="center"/>
          </w:tcPr>
          <w:p>
            <w:pPr>
              <w:snapToGrid w:val="0"/>
              <w:rPr>
                <w:sz w:val="24"/>
                <w:szCs w:val="24"/>
              </w:rPr>
            </w:pPr>
            <w:r>
              <w:rPr>
                <w:rFonts w:hint="eastAsia"/>
                <w:sz w:val="24"/>
                <w:szCs w:val="24"/>
              </w:rPr>
              <w:t>1.普通高校、科研院所、党校、行政学院、会计学院等培养单位的家庭经济困难的全日制学生（含本专科生、高职生、预科生、第二学士学位学生）</w:t>
            </w:r>
          </w:p>
        </w:tc>
        <w:tc>
          <w:tcPr>
            <w:tcW w:w="1557" w:type="dxa"/>
            <w:shd w:val="clear" w:color="auto" w:fill="auto"/>
            <w:vAlign w:val="center"/>
          </w:tcPr>
          <w:p>
            <w:pPr>
              <w:snapToGrid w:val="0"/>
              <w:rPr>
                <w:sz w:val="24"/>
                <w:szCs w:val="24"/>
              </w:rPr>
            </w:pPr>
            <w:r>
              <w:rPr>
                <w:rFonts w:hint="eastAsia"/>
                <w:sz w:val="24"/>
                <w:szCs w:val="24"/>
              </w:rPr>
              <w:t>应贷尽贷</w:t>
            </w:r>
          </w:p>
        </w:tc>
        <w:tc>
          <w:tcPr>
            <w:tcW w:w="1949" w:type="dxa"/>
            <w:shd w:val="clear" w:color="auto" w:fill="auto"/>
            <w:vAlign w:val="center"/>
          </w:tcPr>
          <w:p>
            <w:pPr>
              <w:snapToGrid w:val="0"/>
              <w:rPr>
                <w:w w:val="85"/>
                <w:sz w:val="24"/>
                <w:szCs w:val="24"/>
              </w:rPr>
            </w:pPr>
            <w:r>
              <w:rPr>
                <w:rFonts w:hint="eastAsia"/>
                <w:spacing w:val="-20"/>
                <w:w w:val="85"/>
                <w:sz w:val="24"/>
                <w:szCs w:val="24"/>
              </w:rPr>
              <w:t>按学费、住宿费实际金额总和确定，最高不超过8000元/人</w:t>
            </w:r>
            <w:r>
              <w:rPr>
                <w:spacing w:val="-20"/>
                <w:w w:val="85"/>
                <w:sz w:val="24"/>
                <w:szCs w:val="24"/>
              </w:rPr>
              <w:t>•</w:t>
            </w:r>
            <w:r>
              <w:rPr>
                <w:rFonts w:hint="eastAsia"/>
                <w:spacing w:val="-20"/>
                <w:w w:val="85"/>
                <w:sz w:val="24"/>
                <w:szCs w:val="24"/>
              </w:rPr>
              <w:t>年；贷款期限为剩余学制加13年，最长不超过20年</w:t>
            </w:r>
          </w:p>
        </w:tc>
        <w:tc>
          <w:tcPr>
            <w:tcW w:w="1493" w:type="dxa"/>
            <w:shd w:val="clear" w:color="auto" w:fill="auto"/>
            <w:vAlign w:val="center"/>
          </w:tcPr>
          <w:p>
            <w:pPr>
              <w:snapToGrid w:val="0"/>
              <w:rPr>
                <w:sz w:val="24"/>
                <w:szCs w:val="24"/>
              </w:rPr>
            </w:pPr>
            <w:r>
              <w:rPr>
                <w:rFonts w:hint="eastAsia"/>
                <w:sz w:val="24"/>
                <w:szCs w:val="24"/>
              </w:rPr>
              <w:t>国家开发银行贷款，财政贴息和安排风险补偿金</w:t>
            </w:r>
          </w:p>
        </w:tc>
        <w:tc>
          <w:tcPr>
            <w:tcW w:w="1335" w:type="dxa"/>
            <w:shd w:val="clear" w:color="auto" w:fill="auto"/>
            <w:vAlign w:val="center"/>
          </w:tcPr>
          <w:p>
            <w:pPr>
              <w:snapToGrid w:val="0"/>
              <w:jc w:val="center"/>
              <w:rPr>
                <w:sz w:val="24"/>
                <w:szCs w:val="24"/>
              </w:rPr>
            </w:pPr>
            <w:r>
              <w:rPr>
                <w:rFonts w:hint="eastAsia"/>
                <w:sz w:val="24"/>
                <w:szCs w:val="24"/>
              </w:rPr>
              <w:t>2012年出台；</w:t>
            </w:r>
          </w:p>
          <w:p>
            <w:pPr>
              <w:snapToGrid w:val="0"/>
              <w:jc w:val="center"/>
              <w:rPr>
                <w:sz w:val="24"/>
                <w:szCs w:val="24"/>
              </w:rPr>
            </w:pPr>
            <w:r>
              <w:rPr>
                <w:rFonts w:hint="eastAsia"/>
                <w:sz w:val="24"/>
                <w:szCs w:val="24"/>
              </w:rPr>
              <w:t>2015年扩大范围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2" w:hRule="atLeast"/>
          <w:jc w:val="center"/>
        </w:trPr>
        <w:tc>
          <w:tcPr>
            <w:tcW w:w="775" w:type="dxa"/>
            <w:vMerge w:val="continue"/>
            <w:shd w:val="clear" w:color="auto" w:fill="auto"/>
            <w:vAlign w:val="center"/>
          </w:tcPr>
          <w:p>
            <w:pPr>
              <w:snapToGrid w:val="0"/>
              <w:jc w:val="center"/>
              <w:rPr>
                <w:sz w:val="24"/>
                <w:szCs w:val="24"/>
              </w:rPr>
            </w:pPr>
          </w:p>
        </w:tc>
        <w:tc>
          <w:tcPr>
            <w:tcW w:w="2247" w:type="dxa"/>
            <w:vMerge w:val="continue"/>
            <w:shd w:val="clear" w:color="auto" w:fill="auto"/>
            <w:vAlign w:val="center"/>
          </w:tcPr>
          <w:p>
            <w:pPr>
              <w:snapToGrid w:val="0"/>
              <w:rPr>
                <w:sz w:val="24"/>
                <w:szCs w:val="24"/>
              </w:rPr>
            </w:pPr>
          </w:p>
        </w:tc>
        <w:tc>
          <w:tcPr>
            <w:tcW w:w="3972" w:type="dxa"/>
            <w:shd w:val="clear" w:color="auto" w:fill="auto"/>
            <w:vAlign w:val="center"/>
          </w:tcPr>
          <w:p>
            <w:pPr>
              <w:snapToGrid w:val="0"/>
              <w:rPr>
                <w:sz w:val="24"/>
                <w:szCs w:val="24"/>
              </w:rPr>
            </w:pPr>
            <w:r>
              <w:rPr>
                <w:rFonts w:hint="eastAsia"/>
                <w:sz w:val="24"/>
                <w:szCs w:val="24"/>
              </w:rPr>
              <w:t>2.普通高校、科研院所、党校、行政学院、会计学院等培养单位的家庭经济困难的全日制研究生</w:t>
            </w:r>
          </w:p>
        </w:tc>
        <w:tc>
          <w:tcPr>
            <w:tcW w:w="1557" w:type="dxa"/>
            <w:shd w:val="clear" w:color="auto" w:fill="auto"/>
            <w:vAlign w:val="center"/>
          </w:tcPr>
          <w:p>
            <w:pPr>
              <w:snapToGrid w:val="0"/>
              <w:rPr>
                <w:sz w:val="24"/>
                <w:szCs w:val="24"/>
              </w:rPr>
            </w:pPr>
            <w:r>
              <w:rPr>
                <w:rFonts w:hint="eastAsia"/>
                <w:sz w:val="24"/>
                <w:szCs w:val="24"/>
              </w:rPr>
              <w:t>应贷尽贷</w:t>
            </w:r>
          </w:p>
        </w:tc>
        <w:tc>
          <w:tcPr>
            <w:tcW w:w="1949" w:type="dxa"/>
            <w:shd w:val="clear" w:color="auto" w:fill="auto"/>
            <w:vAlign w:val="center"/>
          </w:tcPr>
          <w:p>
            <w:pPr>
              <w:snapToGrid w:val="0"/>
              <w:rPr>
                <w:w w:val="85"/>
                <w:sz w:val="24"/>
                <w:szCs w:val="24"/>
              </w:rPr>
            </w:pPr>
            <w:r>
              <w:rPr>
                <w:rFonts w:hint="eastAsia"/>
                <w:spacing w:val="-20"/>
                <w:w w:val="85"/>
                <w:sz w:val="24"/>
                <w:szCs w:val="24"/>
              </w:rPr>
              <w:t>按学费、住宿费实际金额总和确定，最高不超过12000元/人</w:t>
            </w:r>
            <w:r>
              <w:rPr>
                <w:spacing w:val="-20"/>
                <w:w w:val="85"/>
                <w:sz w:val="24"/>
                <w:szCs w:val="24"/>
              </w:rPr>
              <w:t>•</w:t>
            </w:r>
            <w:r>
              <w:rPr>
                <w:rFonts w:hint="eastAsia"/>
                <w:spacing w:val="-20"/>
                <w:w w:val="85"/>
                <w:sz w:val="24"/>
                <w:szCs w:val="24"/>
              </w:rPr>
              <w:t>年；贷款期限为剩余学制加13年，最长不超过20年</w:t>
            </w:r>
          </w:p>
        </w:tc>
        <w:tc>
          <w:tcPr>
            <w:tcW w:w="1493" w:type="dxa"/>
            <w:shd w:val="clear" w:color="auto" w:fill="auto"/>
            <w:vAlign w:val="center"/>
          </w:tcPr>
          <w:p>
            <w:pPr>
              <w:snapToGrid w:val="0"/>
              <w:rPr>
                <w:sz w:val="24"/>
                <w:szCs w:val="24"/>
              </w:rPr>
            </w:pPr>
            <w:r>
              <w:rPr>
                <w:rFonts w:hint="eastAsia"/>
                <w:sz w:val="24"/>
                <w:szCs w:val="24"/>
              </w:rPr>
              <w:t>同上</w:t>
            </w:r>
          </w:p>
        </w:tc>
        <w:tc>
          <w:tcPr>
            <w:tcW w:w="1335" w:type="dxa"/>
            <w:shd w:val="clear" w:color="auto" w:fill="auto"/>
            <w:vAlign w:val="center"/>
          </w:tcPr>
          <w:p>
            <w:pPr>
              <w:snapToGrid w:val="0"/>
              <w:jc w:val="center"/>
              <w:rPr>
                <w:sz w:val="24"/>
                <w:szCs w:val="24"/>
              </w:rPr>
            </w:pPr>
            <w:r>
              <w:rPr>
                <w:rFonts w:hint="eastAsia"/>
                <w:sz w:val="24"/>
                <w:szCs w:val="24"/>
              </w:rPr>
              <w:t>2012年出台；</w:t>
            </w:r>
          </w:p>
          <w:p>
            <w:pPr>
              <w:snapToGrid w:val="0"/>
              <w:jc w:val="center"/>
              <w:rPr>
                <w:sz w:val="24"/>
                <w:szCs w:val="24"/>
              </w:rPr>
            </w:pPr>
            <w:r>
              <w:rPr>
                <w:rFonts w:hint="eastAsia"/>
                <w:sz w:val="24"/>
                <w:szCs w:val="24"/>
              </w:rPr>
              <w:t>2015年扩大范围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73" w:hRule="atLeast"/>
          <w:jc w:val="center"/>
        </w:trPr>
        <w:tc>
          <w:tcPr>
            <w:tcW w:w="775" w:type="dxa"/>
            <w:vMerge w:val="continue"/>
            <w:shd w:val="clear" w:color="auto" w:fill="auto"/>
            <w:vAlign w:val="center"/>
          </w:tcPr>
          <w:p>
            <w:pPr>
              <w:snapToGrid w:val="0"/>
              <w:jc w:val="center"/>
              <w:rPr>
                <w:color w:val="FF0000"/>
                <w:sz w:val="24"/>
                <w:szCs w:val="24"/>
              </w:rPr>
            </w:pPr>
          </w:p>
        </w:tc>
        <w:tc>
          <w:tcPr>
            <w:tcW w:w="2247" w:type="dxa"/>
            <w:shd w:val="clear" w:color="auto" w:fill="auto"/>
            <w:vAlign w:val="center"/>
          </w:tcPr>
          <w:p>
            <w:pPr>
              <w:snapToGrid w:val="0"/>
              <w:rPr>
                <w:sz w:val="24"/>
                <w:szCs w:val="24"/>
              </w:rPr>
            </w:pPr>
            <w:r>
              <w:rPr>
                <w:rFonts w:hint="eastAsia"/>
                <w:sz w:val="24"/>
                <w:szCs w:val="24"/>
              </w:rPr>
              <w:t>7</w:t>
            </w:r>
            <w:r>
              <w:rPr>
                <w:sz w:val="24"/>
                <w:szCs w:val="24"/>
              </w:rPr>
              <w:t>.师范生免费教育</w:t>
            </w:r>
          </w:p>
        </w:tc>
        <w:tc>
          <w:tcPr>
            <w:tcW w:w="3972" w:type="dxa"/>
            <w:shd w:val="clear" w:color="auto" w:fill="auto"/>
            <w:vAlign w:val="center"/>
          </w:tcPr>
          <w:p>
            <w:pPr>
              <w:snapToGrid w:val="0"/>
              <w:rPr>
                <w:spacing w:val="-20"/>
                <w:sz w:val="24"/>
                <w:szCs w:val="24"/>
              </w:rPr>
            </w:pPr>
            <w:r>
              <w:rPr>
                <w:rFonts w:hint="eastAsia"/>
                <w:spacing w:val="-20"/>
                <w:sz w:val="24"/>
                <w:szCs w:val="24"/>
              </w:rPr>
              <w:t>北京师范大学、华东师范大学、东北师范大学、华中师范大学、陕西师范大学和西南大学六所教育部直属师范大学免费师范生</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免除学费、免缴住宿费，并补助生活费</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2007年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12" w:hRule="atLeast"/>
          <w:jc w:val="center"/>
        </w:trPr>
        <w:tc>
          <w:tcPr>
            <w:tcW w:w="775" w:type="dxa"/>
            <w:vMerge w:val="restart"/>
            <w:shd w:val="clear" w:color="auto" w:fill="auto"/>
            <w:vAlign w:val="center"/>
          </w:tcPr>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r>
              <w:rPr>
                <w:rFonts w:hint="eastAsia"/>
                <w:sz w:val="24"/>
                <w:szCs w:val="24"/>
              </w:rPr>
              <w:t>高</w:t>
            </w:r>
          </w:p>
          <w:p>
            <w:pPr>
              <w:snapToGrid w:val="0"/>
              <w:jc w:val="center"/>
              <w:rPr>
                <w:sz w:val="24"/>
                <w:szCs w:val="24"/>
              </w:rPr>
            </w:pPr>
            <w:r>
              <w:rPr>
                <w:rFonts w:hint="eastAsia"/>
                <w:sz w:val="24"/>
                <w:szCs w:val="24"/>
              </w:rPr>
              <w:t>等</w:t>
            </w:r>
          </w:p>
          <w:p>
            <w:pPr>
              <w:snapToGrid w:val="0"/>
              <w:jc w:val="center"/>
              <w:rPr>
                <w:sz w:val="24"/>
                <w:szCs w:val="24"/>
              </w:rPr>
            </w:pPr>
            <w:r>
              <w:rPr>
                <w:rFonts w:hint="eastAsia"/>
                <w:sz w:val="24"/>
                <w:szCs w:val="24"/>
              </w:rPr>
              <w:t>教</w:t>
            </w:r>
          </w:p>
          <w:p>
            <w:pPr>
              <w:snapToGrid w:val="0"/>
              <w:jc w:val="center"/>
              <w:rPr>
                <w:sz w:val="24"/>
                <w:szCs w:val="24"/>
              </w:rPr>
            </w:pPr>
            <w:r>
              <w:rPr>
                <w:rFonts w:hint="eastAsia"/>
                <w:sz w:val="24"/>
                <w:szCs w:val="24"/>
              </w:rPr>
              <w:t>育</w:t>
            </w: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r>
              <w:rPr>
                <w:rFonts w:hint="eastAsia"/>
                <w:sz w:val="24"/>
                <w:szCs w:val="24"/>
              </w:rPr>
              <w:t>高</w:t>
            </w:r>
          </w:p>
          <w:p>
            <w:pPr>
              <w:snapToGrid w:val="0"/>
              <w:jc w:val="center"/>
              <w:rPr>
                <w:sz w:val="24"/>
                <w:szCs w:val="24"/>
              </w:rPr>
            </w:pPr>
            <w:r>
              <w:rPr>
                <w:rFonts w:hint="eastAsia"/>
                <w:sz w:val="24"/>
                <w:szCs w:val="24"/>
              </w:rPr>
              <w:t>等</w:t>
            </w:r>
          </w:p>
          <w:p>
            <w:pPr>
              <w:snapToGrid w:val="0"/>
              <w:jc w:val="center"/>
              <w:rPr>
                <w:sz w:val="24"/>
                <w:szCs w:val="24"/>
              </w:rPr>
            </w:pPr>
            <w:r>
              <w:rPr>
                <w:rFonts w:hint="eastAsia"/>
                <w:sz w:val="24"/>
                <w:szCs w:val="24"/>
              </w:rPr>
              <w:t>教</w:t>
            </w:r>
          </w:p>
          <w:p>
            <w:pPr>
              <w:snapToGrid w:val="0"/>
              <w:jc w:val="center"/>
              <w:rPr>
                <w:sz w:val="24"/>
                <w:szCs w:val="24"/>
              </w:rPr>
            </w:pPr>
            <w:r>
              <w:rPr>
                <w:rFonts w:hint="eastAsia"/>
                <w:sz w:val="24"/>
                <w:szCs w:val="24"/>
              </w:rPr>
              <w:t>育</w:t>
            </w: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8.退役士兵教育资助</w:t>
            </w:r>
          </w:p>
        </w:tc>
        <w:tc>
          <w:tcPr>
            <w:tcW w:w="3972" w:type="dxa"/>
            <w:shd w:val="clear" w:color="auto" w:fill="auto"/>
            <w:vAlign w:val="center"/>
          </w:tcPr>
          <w:p>
            <w:pPr>
              <w:snapToGrid w:val="0"/>
              <w:rPr>
                <w:sz w:val="24"/>
                <w:szCs w:val="24"/>
              </w:rPr>
            </w:pPr>
            <w:r>
              <w:rPr>
                <w:rFonts w:hint="eastAsia"/>
                <w:sz w:val="24"/>
                <w:szCs w:val="24"/>
              </w:rPr>
              <w:t>退役一年以上</w:t>
            </w:r>
            <w:r>
              <w:rPr>
                <w:rFonts w:hint="eastAsia"/>
                <w:color w:val="FF0000"/>
                <w:sz w:val="24"/>
                <w:szCs w:val="24"/>
              </w:rPr>
              <w:t>（跨年度即可）</w:t>
            </w:r>
            <w:r>
              <w:rPr>
                <w:rFonts w:hint="eastAsia"/>
                <w:sz w:val="24"/>
                <w:szCs w:val="24"/>
              </w:rPr>
              <w:t>，考入全日制普通高等学校的自主就业退役士兵</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本专科生最高8000元/人</w:t>
            </w:r>
            <w:r>
              <w:rPr>
                <w:rFonts w:hint="eastAsia" w:ascii="仿宋_GB2312"/>
                <w:sz w:val="24"/>
                <w:szCs w:val="24"/>
              </w:rPr>
              <w:t>·年</w:t>
            </w:r>
            <w:r>
              <w:rPr>
                <w:rFonts w:hint="eastAsia"/>
                <w:sz w:val="24"/>
                <w:szCs w:val="24"/>
              </w:rPr>
              <w:t>；研究生最高12000元/人</w:t>
            </w:r>
            <w:r>
              <w:rPr>
                <w:rFonts w:hint="eastAsia" w:ascii="仿宋_GB2312"/>
                <w:sz w:val="24"/>
                <w:szCs w:val="24"/>
              </w:rPr>
              <w:t>·年</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2011年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9.毕业生</w:t>
            </w:r>
            <w:r>
              <w:rPr>
                <w:rFonts w:hint="eastAsia"/>
                <w:sz w:val="24"/>
                <w:szCs w:val="24"/>
              </w:rPr>
              <w:t>赴</w:t>
            </w:r>
            <w:r>
              <w:rPr>
                <w:sz w:val="24"/>
                <w:szCs w:val="24"/>
              </w:rPr>
              <w:t>基层</w:t>
            </w:r>
            <w:r>
              <w:rPr>
                <w:rFonts w:hint="eastAsia"/>
                <w:sz w:val="24"/>
                <w:szCs w:val="24"/>
              </w:rPr>
              <w:t>单位就业国家助学</w:t>
            </w:r>
            <w:r>
              <w:rPr>
                <w:sz w:val="24"/>
                <w:szCs w:val="24"/>
              </w:rPr>
              <w:t>贷款代偿</w:t>
            </w:r>
          </w:p>
        </w:tc>
        <w:tc>
          <w:tcPr>
            <w:tcW w:w="3972" w:type="dxa"/>
            <w:shd w:val="clear" w:color="auto" w:fill="auto"/>
            <w:vAlign w:val="center"/>
          </w:tcPr>
          <w:p>
            <w:pPr>
              <w:snapToGrid w:val="0"/>
              <w:rPr>
                <w:sz w:val="24"/>
                <w:szCs w:val="24"/>
              </w:rPr>
            </w:pPr>
            <w:r>
              <w:rPr>
                <w:rFonts w:hint="eastAsia"/>
                <w:sz w:val="24"/>
                <w:szCs w:val="24"/>
              </w:rPr>
              <w:t>自愿到</w:t>
            </w:r>
            <w:r>
              <w:rPr>
                <w:rFonts w:hint="eastAsia"/>
                <w:color w:val="FF0000"/>
                <w:sz w:val="24"/>
                <w:szCs w:val="24"/>
              </w:rPr>
              <w:t>河南艰苦边远地区（53个贫困县</w:t>
            </w:r>
            <w:r>
              <w:rPr>
                <w:rFonts w:hint="eastAsia"/>
                <w:sz w:val="24"/>
                <w:szCs w:val="24"/>
              </w:rPr>
              <w:t>）县以下基层单位工作、服务期达到3年以上（含3年）、服务期考核合格的全日制普通高等学校应届毕业生</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本专科生每人每年最高8000元；研究生每人每年最高12000元</w:t>
            </w:r>
          </w:p>
        </w:tc>
        <w:tc>
          <w:tcPr>
            <w:tcW w:w="1493" w:type="dxa"/>
            <w:shd w:val="clear" w:color="auto" w:fill="auto"/>
            <w:vAlign w:val="center"/>
          </w:tcPr>
          <w:p>
            <w:pPr>
              <w:snapToGrid w:val="0"/>
              <w:rPr>
                <w:sz w:val="24"/>
                <w:szCs w:val="24"/>
              </w:rPr>
            </w:pPr>
            <w:r>
              <w:rPr>
                <w:rFonts w:hint="eastAsia"/>
                <w:sz w:val="24"/>
                <w:szCs w:val="24"/>
              </w:rPr>
              <w:t>地方财政</w:t>
            </w:r>
          </w:p>
        </w:tc>
        <w:tc>
          <w:tcPr>
            <w:tcW w:w="1335" w:type="dxa"/>
            <w:shd w:val="clear" w:color="auto" w:fill="auto"/>
            <w:vAlign w:val="center"/>
          </w:tcPr>
          <w:p>
            <w:pPr>
              <w:snapToGrid w:val="0"/>
              <w:jc w:val="center"/>
              <w:rPr>
                <w:sz w:val="24"/>
                <w:szCs w:val="24"/>
              </w:rPr>
            </w:pPr>
            <w:r>
              <w:rPr>
                <w:rFonts w:hint="eastAsia"/>
                <w:sz w:val="24"/>
                <w:szCs w:val="24"/>
              </w:rPr>
              <w:t>2009年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19"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10.</w:t>
            </w:r>
            <w:r>
              <w:rPr>
                <w:rFonts w:hint="eastAsia"/>
                <w:sz w:val="24"/>
                <w:szCs w:val="24"/>
              </w:rPr>
              <w:t>学生应征入伍服义务兵役国家资助</w:t>
            </w:r>
          </w:p>
        </w:tc>
        <w:tc>
          <w:tcPr>
            <w:tcW w:w="3972" w:type="dxa"/>
            <w:shd w:val="clear" w:color="auto" w:fill="auto"/>
            <w:vAlign w:val="center"/>
          </w:tcPr>
          <w:p>
            <w:pPr>
              <w:snapToGrid w:val="0"/>
              <w:rPr>
                <w:sz w:val="24"/>
                <w:szCs w:val="24"/>
              </w:rPr>
            </w:pPr>
            <w:r>
              <w:rPr>
                <w:rFonts w:hint="eastAsia"/>
                <w:sz w:val="24"/>
                <w:szCs w:val="24"/>
              </w:rPr>
              <w:t>高校全日制普通本专科（含高职）、研究生、第二学士学位应届毕业生、在读生，以及成人高校招收的普通本专科（高职）毕业生、在读生</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本专科生每人每年最高8000元；研究生每人每年最高12000元</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2009年、2011年、</w:t>
            </w:r>
          </w:p>
          <w:p>
            <w:pPr>
              <w:snapToGrid w:val="0"/>
              <w:jc w:val="center"/>
              <w:rPr>
                <w:rFonts w:hint="eastAsia"/>
                <w:sz w:val="24"/>
                <w:szCs w:val="24"/>
              </w:rPr>
            </w:pPr>
            <w:r>
              <w:rPr>
                <w:rFonts w:hint="eastAsia"/>
                <w:color w:val="FF0000"/>
                <w:sz w:val="24"/>
                <w:szCs w:val="24"/>
              </w:rPr>
              <w:t>2013年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19"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11.</w:t>
            </w:r>
            <w:r>
              <w:rPr>
                <w:rFonts w:hint="eastAsia"/>
                <w:sz w:val="24"/>
                <w:szCs w:val="24"/>
              </w:rPr>
              <w:t>直招士官国家资助</w:t>
            </w:r>
          </w:p>
        </w:tc>
        <w:tc>
          <w:tcPr>
            <w:tcW w:w="3972" w:type="dxa"/>
            <w:shd w:val="clear" w:color="auto" w:fill="auto"/>
            <w:vAlign w:val="center"/>
          </w:tcPr>
          <w:p>
            <w:pPr>
              <w:snapToGrid w:val="0"/>
              <w:rPr>
                <w:sz w:val="24"/>
                <w:szCs w:val="24"/>
              </w:rPr>
            </w:pPr>
            <w:r>
              <w:rPr>
                <w:rFonts w:hint="eastAsia"/>
                <w:sz w:val="24"/>
                <w:szCs w:val="24"/>
              </w:rPr>
              <w:t>直接从非军事部门招收为部队士官的全日制普通本专科（含高职）、研究生、第二学士学位的应（往）届毕业生，及成人高校的普通本专科（高职）应（往）届毕业生；纳入全国高等学校招生统一考试、直接招录或选拔补充为部队士官的定向生。</w:t>
            </w:r>
          </w:p>
        </w:tc>
        <w:tc>
          <w:tcPr>
            <w:tcW w:w="1557" w:type="dxa"/>
            <w:shd w:val="clear" w:color="auto" w:fill="auto"/>
            <w:vAlign w:val="center"/>
          </w:tcPr>
          <w:p>
            <w:pPr>
              <w:snapToGrid w:val="0"/>
              <w:rPr>
                <w:sz w:val="24"/>
                <w:szCs w:val="24"/>
              </w:rPr>
            </w:pPr>
            <w:r>
              <w:rPr>
                <w:rFonts w:hint="eastAsia"/>
                <w:sz w:val="24"/>
                <w:szCs w:val="24"/>
              </w:rPr>
              <w:t>全部</w:t>
            </w:r>
          </w:p>
        </w:tc>
        <w:tc>
          <w:tcPr>
            <w:tcW w:w="1949" w:type="dxa"/>
            <w:shd w:val="clear" w:color="auto" w:fill="auto"/>
            <w:vAlign w:val="center"/>
          </w:tcPr>
          <w:p>
            <w:pPr>
              <w:snapToGrid w:val="0"/>
              <w:rPr>
                <w:sz w:val="24"/>
                <w:szCs w:val="24"/>
              </w:rPr>
            </w:pPr>
            <w:r>
              <w:rPr>
                <w:rFonts w:hint="eastAsia"/>
                <w:sz w:val="24"/>
                <w:szCs w:val="24"/>
              </w:rPr>
              <w:t>本专科生每人每年最高8000元；研究生每人每年最高12000元</w:t>
            </w:r>
          </w:p>
        </w:tc>
        <w:tc>
          <w:tcPr>
            <w:tcW w:w="1493" w:type="dxa"/>
            <w:shd w:val="clear" w:color="auto" w:fill="auto"/>
            <w:vAlign w:val="center"/>
          </w:tcPr>
          <w:p>
            <w:pPr>
              <w:snapToGrid w:val="0"/>
              <w:rPr>
                <w:sz w:val="24"/>
                <w:szCs w:val="24"/>
              </w:rPr>
            </w:pPr>
            <w:r>
              <w:rPr>
                <w:rFonts w:hint="eastAsia"/>
                <w:sz w:val="24"/>
                <w:szCs w:val="24"/>
              </w:rPr>
              <w:t>中央财政</w:t>
            </w:r>
          </w:p>
        </w:tc>
        <w:tc>
          <w:tcPr>
            <w:tcW w:w="1335" w:type="dxa"/>
            <w:shd w:val="clear" w:color="auto" w:fill="auto"/>
            <w:vAlign w:val="center"/>
          </w:tcPr>
          <w:p>
            <w:pPr>
              <w:snapToGrid w:val="0"/>
              <w:jc w:val="center"/>
              <w:rPr>
                <w:sz w:val="24"/>
                <w:szCs w:val="24"/>
              </w:rPr>
            </w:pPr>
            <w:r>
              <w:rPr>
                <w:rFonts w:hint="eastAsia"/>
                <w:sz w:val="24"/>
                <w:szCs w:val="24"/>
              </w:rPr>
              <w:t>2015年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19"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12</w:t>
            </w:r>
            <w:r>
              <w:rPr>
                <w:sz w:val="24"/>
                <w:szCs w:val="24"/>
              </w:rPr>
              <w:t>.高校新生入学资助项目</w:t>
            </w:r>
          </w:p>
        </w:tc>
        <w:tc>
          <w:tcPr>
            <w:tcW w:w="3972" w:type="dxa"/>
            <w:shd w:val="clear" w:color="auto" w:fill="auto"/>
            <w:vAlign w:val="center"/>
          </w:tcPr>
          <w:p>
            <w:pPr>
              <w:snapToGrid w:val="0"/>
              <w:rPr>
                <w:sz w:val="24"/>
                <w:szCs w:val="24"/>
              </w:rPr>
            </w:pPr>
            <w:r>
              <w:rPr>
                <w:rFonts w:hint="eastAsia"/>
                <w:sz w:val="24"/>
                <w:szCs w:val="24"/>
              </w:rPr>
              <w:t>参加高考并被全日制普通高等院校（含高职）录取且家庭经济困难的高中应届毕业生（用于特困生新生入学路费和短期生活费）</w:t>
            </w:r>
          </w:p>
        </w:tc>
        <w:tc>
          <w:tcPr>
            <w:tcW w:w="1557" w:type="dxa"/>
            <w:shd w:val="clear" w:color="auto" w:fill="auto"/>
            <w:vAlign w:val="center"/>
          </w:tcPr>
          <w:p>
            <w:pPr>
              <w:snapToGrid w:val="0"/>
              <w:rPr>
                <w:sz w:val="24"/>
                <w:szCs w:val="24"/>
              </w:rPr>
            </w:pPr>
            <w:r>
              <w:rPr>
                <w:rFonts w:hint="eastAsia"/>
                <w:sz w:val="24"/>
                <w:szCs w:val="24"/>
              </w:rPr>
              <w:t>每年1200万元</w:t>
            </w:r>
            <w:r>
              <w:rPr>
                <w:sz w:val="24"/>
                <w:szCs w:val="24"/>
              </w:rPr>
              <w:t>左右</w:t>
            </w:r>
          </w:p>
        </w:tc>
        <w:tc>
          <w:tcPr>
            <w:tcW w:w="1949" w:type="dxa"/>
            <w:shd w:val="clear" w:color="auto" w:fill="auto"/>
            <w:vAlign w:val="center"/>
          </w:tcPr>
          <w:p>
            <w:pPr>
              <w:snapToGrid w:val="0"/>
              <w:rPr>
                <w:sz w:val="24"/>
                <w:szCs w:val="24"/>
              </w:rPr>
            </w:pPr>
            <w:r>
              <w:rPr>
                <w:rFonts w:hint="eastAsia"/>
                <w:sz w:val="24"/>
                <w:szCs w:val="24"/>
              </w:rPr>
              <w:t>省内院校录取的新生每人500元，省外院校录取的新生每人1000元</w:t>
            </w:r>
          </w:p>
        </w:tc>
        <w:tc>
          <w:tcPr>
            <w:tcW w:w="1493" w:type="dxa"/>
            <w:shd w:val="clear" w:color="auto" w:fill="auto"/>
            <w:vAlign w:val="center"/>
          </w:tcPr>
          <w:p>
            <w:pPr>
              <w:snapToGrid w:val="0"/>
              <w:rPr>
                <w:sz w:val="24"/>
                <w:szCs w:val="24"/>
              </w:rPr>
            </w:pPr>
            <w:r>
              <w:rPr>
                <w:rFonts w:hint="eastAsia"/>
                <w:sz w:val="24"/>
                <w:szCs w:val="24"/>
              </w:rPr>
              <w:t>中国教育发展基金会</w:t>
            </w:r>
          </w:p>
        </w:tc>
        <w:tc>
          <w:tcPr>
            <w:tcW w:w="1335" w:type="dxa"/>
            <w:shd w:val="clear" w:color="auto" w:fill="auto"/>
            <w:vAlign w:val="center"/>
          </w:tcPr>
          <w:p>
            <w:pPr>
              <w:snapToGrid w:val="0"/>
              <w:jc w:val="center"/>
              <w:rPr>
                <w:sz w:val="24"/>
                <w:szCs w:val="24"/>
              </w:rPr>
            </w:pPr>
            <w:r>
              <w:rPr>
                <w:rFonts w:hint="eastAsia"/>
                <w:sz w:val="24"/>
                <w:szCs w:val="24"/>
              </w:rPr>
              <w:t>2012年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19"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13.“雨露计划”助学</w:t>
            </w:r>
            <w:r>
              <w:rPr>
                <w:sz w:val="24"/>
                <w:szCs w:val="24"/>
              </w:rPr>
              <w:t>补助</w:t>
            </w:r>
          </w:p>
        </w:tc>
        <w:tc>
          <w:tcPr>
            <w:tcW w:w="3972" w:type="dxa"/>
            <w:shd w:val="clear" w:color="auto" w:fill="auto"/>
            <w:vAlign w:val="center"/>
          </w:tcPr>
          <w:p>
            <w:pPr>
              <w:snapToGrid w:val="0"/>
              <w:rPr>
                <w:sz w:val="24"/>
                <w:szCs w:val="24"/>
              </w:rPr>
            </w:pPr>
            <w:r>
              <w:rPr>
                <w:rFonts w:hint="eastAsia"/>
                <w:sz w:val="24"/>
                <w:szCs w:val="24"/>
              </w:rPr>
              <w:t>建档立卡</w:t>
            </w:r>
            <w:r>
              <w:rPr>
                <w:sz w:val="24"/>
                <w:szCs w:val="24"/>
              </w:rPr>
              <w:t>贫困家庭普通专科学生</w:t>
            </w:r>
          </w:p>
        </w:tc>
        <w:tc>
          <w:tcPr>
            <w:tcW w:w="1557" w:type="dxa"/>
            <w:shd w:val="clear" w:color="auto" w:fill="auto"/>
            <w:vAlign w:val="center"/>
          </w:tcPr>
          <w:p>
            <w:pPr>
              <w:snapToGrid w:val="0"/>
              <w:rPr>
                <w:sz w:val="24"/>
                <w:szCs w:val="24"/>
              </w:rPr>
            </w:pPr>
            <w:r>
              <w:rPr>
                <w:rFonts w:hint="eastAsia"/>
                <w:sz w:val="24"/>
                <w:szCs w:val="24"/>
              </w:rPr>
              <w:t>全部建档立卡家庭普通专科学生</w:t>
            </w:r>
          </w:p>
        </w:tc>
        <w:tc>
          <w:tcPr>
            <w:tcW w:w="1949" w:type="dxa"/>
            <w:shd w:val="clear" w:color="auto" w:fill="auto"/>
            <w:vAlign w:val="center"/>
          </w:tcPr>
          <w:p>
            <w:pPr>
              <w:snapToGrid w:val="0"/>
              <w:rPr>
                <w:sz w:val="24"/>
                <w:szCs w:val="24"/>
              </w:rPr>
            </w:pPr>
            <w:r>
              <w:rPr>
                <w:rFonts w:hint="eastAsia"/>
                <w:sz w:val="24"/>
                <w:szCs w:val="24"/>
              </w:rPr>
              <w:t>每生每年2000元</w:t>
            </w:r>
          </w:p>
        </w:tc>
        <w:tc>
          <w:tcPr>
            <w:tcW w:w="1493" w:type="dxa"/>
            <w:shd w:val="clear" w:color="auto" w:fill="auto"/>
            <w:vAlign w:val="center"/>
          </w:tcPr>
          <w:p>
            <w:pPr>
              <w:snapToGrid w:val="0"/>
              <w:rPr>
                <w:sz w:val="24"/>
                <w:szCs w:val="24"/>
              </w:rPr>
            </w:pPr>
            <w:r>
              <w:rPr>
                <w:rFonts w:hint="eastAsia"/>
                <w:sz w:val="24"/>
                <w:szCs w:val="24"/>
              </w:rPr>
              <w:t>中央财政60%、地方财政40%</w:t>
            </w:r>
          </w:p>
        </w:tc>
        <w:tc>
          <w:tcPr>
            <w:tcW w:w="1335" w:type="dxa"/>
            <w:shd w:val="clear" w:color="auto" w:fill="auto"/>
            <w:vAlign w:val="center"/>
          </w:tcPr>
          <w:p>
            <w:pPr>
              <w:snapToGrid w:val="0"/>
              <w:jc w:val="center"/>
              <w:rPr>
                <w:sz w:val="24"/>
                <w:szCs w:val="24"/>
              </w:rPr>
            </w:pPr>
            <w:r>
              <w:rPr>
                <w:rFonts w:hint="eastAsia"/>
                <w:sz w:val="24"/>
                <w:szCs w:val="24"/>
              </w:rPr>
              <w:t>2015年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1</w:t>
            </w:r>
            <w:r>
              <w:rPr>
                <w:sz w:val="24"/>
                <w:szCs w:val="24"/>
              </w:rPr>
              <w:t>4.勤工助学</w:t>
            </w:r>
          </w:p>
        </w:tc>
        <w:tc>
          <w:tcPr>
            <w:tcW w:w="3972" w:type="dxa"/>
            <w:shd w:val="clear" w:color="auto" w:fill="auto"/>
            <w:vAlign w:val="center"/>
          </w:tcPr>
          <w:p>
            <w:pPr>
              <w:snapToGrid w:val="0"/>
              <w:rPr>
                <w:sz w:val="24"/>
                <w:szCs w:val="24"/>
              </w:rPr>
            </w:pPr>
            <w:r>
              <w:rPr>
                <w:rFonts w:hint="eastAsia"/>
                <w:sz w:val="24"/>
                <w:szCs w:val="24"/>
              </w:rPr>
              <w:t>家庭经济困难的全日制在校普通本专科生（含高职、第二学士学位）、研究生</w:t>
            </w:r>
          </w:p>
        </w:tc>
        <w:tc>
          <w:tcPr>
            <w:tcW w:w="1557" w:type="dxa"/>
            <w:shd w:val="clear" w:color="auto" w:fill="auto"/>
            <w:vAlign w:val="center"/>
          </w:tcPr>
          <w:p>
            <w:pPr>
              <w:snapToGrid w:val="0"/>
              <w:rPr>
                <w:sz w:val="24"/>
                <w:szCs w:val="24"/>
              </w:rPr>
            </w:pPr>
            <w:r>
              <w:rPr>
                <w:rFonts w:hint="eastAsia"/>
                <w:sz w:val="24"/>
                <w:szCs w:val="24"/>
              </w:rPr>
              <w:t>2016年占在校生9.7%</w:t>
            </w:r>
          </w:p>
        </w:tc>
        <w:tc>
          <w:tcPr>
            <w:tcW w:w="1949" w:type="dxa"/>
            <w:shd w:val="clear" w:color="auto" w:fill="auto"/>
            <w:vAlign w:val="center"/>
          </w:tcPr>
          <w:p>
            <w:pPr>
              <w:snapToGrid w:val="0"/>
              <w:rPr>
                <w:spacing w:val="-20"/>
                <w:sz w:val="24"/>
                <w:szCs w:val="24"/>
              </w:rPr>
            </w:pPr>
            <w:r>
              <w:rPr>
                <w:rFonts w:hint="eastAsia"/>
                <w:spacing w:val="-20"/>
                <w:sz w:val="24"/>
                <w:szCs w:val="24"/>
              </w:rPr>
              <w:t>每人每周不超过8小时，每月不超过40小时，每小时原则上不低于8元人民币，每月40个工时酬金原则上不低于当地最低工资标准或居民最低生活保障标准</w:t>
            </w:r>
          </w:p>
        </w:tc>
        <w:tc>
          <w:tcPr>
            <w:tcW w:w="1493" w:type="dxa"/>
            <w:shd w:val="clear" w:color="auto" w:fill="auto"/>
            <w:vAlign w:val="center"/>
          </w:tcPr>
          <w:p>
            <w:pPr>
              <w:snapToGrid w:val="0"/>
              <w:rPr>
                <w:sz w:val="24"/>
                <w:szCs w:val="24"/>
              </w:rPr>
            </w:pPr>
            <w:r>
              <w:rPr>
                <w:rFonts w:hint="eastAsia"/>
                <w:sz w:val="24"/>
                <w:szCs w:val="24"/>
              </w:rPr>
              <w:t>学校</w:t>
            </w:r>
          </w:p>
        </w:tc>
        <w:tc>
          <w:tcPr>
            <w:tcW w:w="1335" w:type="dxa"/>
            <w:shd w:val="clear" w:color="auto" w:fill="auto"/>
            <w:vAlign w:val="center"/>
          </w:tcPr>
          <w:p>
            <w:pPr>
              <w:snapToGrid w:val="0"/>
              <w:jc w:val="center"/>
              <w:rPr>
                <w:sz w:val="24"/>
                <w:szCs w:val="24"/>
              </w:rPr>
            </w:pPr>
            <w:r>
              <w:rPr>
                <w:rFonts w:hint="eastAsia"/>
                <w:sz w:val="24"/>
                <w:szCs w:val="24"/>
              </w:rPr>
              <w:t>90年代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77" w:hRule="atLeast"/>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1</w:t>
            </w:r>
            <w:r>
              <w:rPr>
                <w:rFonts w:hint="eastAsia"/>
                <w:sz w:val="24"/>
                <w:szCs w:val="24"/>
              </w:rPr>
              <w:t>5</w:t>
            </w:r>
            <w:r>
              <w:rPr>
                <w:sz w:val="24"/>
                <w:szCs w:val="24"/>
              </w:rPr>
              <w:t>.学费减免</w:t>
            </w:r>
          </w:p>
        </w:tc>
        <w:tc>
          <w:tcPr>
            <w:tcW w:w="3972" w:type="dxa"/>
            <w:shd w:val="clear" w:color="auto" w:fill="auto"/>
            <w:vAlign w:val="center"/>
          </w:tcPr>
          <w:p>
            <w:pPr>
              <w:snapToGrid w:val="0"/>
              <w:rPr>
                <w:sz w:val="24"/>
                <w:szCs w:val="24"/>
              </w:rPr>
            </w:pPr>
            <w:r>
              <w:rPr>
                <w:rFonts w:hint="eastAsia"/>
                <w:sz w:val="24"/>
                <w:szCs w:val="24"/>
              </w:rPr>
              <w:t>公办全日制普通高校中家庭经济特别困难、无法缴纳学费的学生，特别是其中的孤残学生、少数民族学生及烈士子女、优抚家庭子女等</w:t>
            </w:r>
          </w:p>
        </w:tc>
        <w:tc>
          <w:tcPr>
            <w:tcW w:w="1557" w:type="dxa"/>
            <w:shd w:val="clear" w:color="auto" w:fill="auto"/>
            <w:vAlign w:val="center"/>
          </w:tcPr>
          <w:p>
            <w:pPr>
              <w:snapToGrid w:val="0"/>
              <w:rPr>
                <w:sz w:val="24"/>
                <w:szCs w:val="24"/>
              </w:rPr>
            </w:pPr>
            <w:r>
              <w:rPr>
                <w:rFonts w:hint="eastAsia"/>
                <w:sz w:val="24"/>
                <w:szCs w:val="24"/>
              </w:rPr>
              <w:t>2016年占在校生0.5%</w:t>
            </w:r>
          </w:p>
        </w:tc>
        <w:tc>
          <w:tcPr>
            <w:tcW w:w="1949" w:type="dxa"/>
            <w:shd w:val="clear" w:color="auto" w:fill="auto"/>
            <w:vAlign w:val="center"/>
          </w:tcPr>
          <w:p>
            <w:pPr>
              <w:snapToGrid w:val="0"/>
              <w:rPr>
                <w:sz w:val="24"/>
                <w:szCs w:val="24"/>
              </w:rPr>
            </w:pPr>
            <w:r>
              <w:rPr>
                <w:rFonts w:hint="eastAsia"/>
                <w:sz w:val="24"/>
                <w:szCs w:val="24"/>
              </w:rPr>
              <w:t>具体标准由学校结合实际确定</w:t>
            </w:r>
          </w:p>
        </w:tc>
        <w:tc>
          <w:tcPr>
            <w:tcW w:w="1493" w:type="dxa"/>
            <w:shd w:val="clear" w:color="auto" w:fill="auto"/>
            <w:vAlign w:val="center"/>
          </w:tcPr>
          <w:p>
            <w:pPr>
              <w:snapToGrid w:val="0"/>
              <w:rPr>
                <w:sz w:val="24"/>
                <w:szCs w:val="24"/>
              </w:rPr>
            </w:pPr>
            <w:r>
              <w:rPr>
                <w:rFonts w:hint="eastAsia"/>
                <w:sz w:val="24"/>
                <w:szCs w:val="24"/>
              </w:rPr>
              <w:t>学校</w:t>
            </w:r>
          </w:p>
        </w:tc>
        <w:tc>
          <w:tcPr>
            <w:tcW w:w="1335" w:type="dxa"/>
            <w:shd w:val="clear" w:color="auto" w:fill="auto"/>
            <w:vAlign w:val="center"/>
          </w:tcPr>
          <w:p>
            <w:pPr>
              <w:snapToGrid w:val="0"/>
              <w:jc w:val="center"/>
              <w:rPr>
                <w:sz w:val="24"/>
                <w:szCs w:val="24"/>
              </w:rPr>
            </w:pPr>
            <w:r>
              <w:rPr>
                <w:rFonts w:hint="eastAsia"/>
                <w:sz w:val="24"/>
                <w:szCs w:val="24"/>
              </w:rPr>
              <w:t>90年代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sz w:val="24"/>
                <w:szCs w:val="24"/>
              </w:rPr>
              <w:t>16.</w:t>
            </w:r>
            <w:r>
              <w:rPr>
                <w:rFonts w:hint="eastAsia"/>
                <w:sz w:val="24"/>
                <w:szCs w:val="24"/>
              </w:rPr>
              <w:t>校内奖助学金</w:t>
            </w:r>
          </w:p>
        </w:tc>
        <w:tc>
          <w:tcPr>
            <w:tcW w:w="3972" w:type="dxa"/>
            <w:shd w:val="clear" w:color="auto" w:fill="auto"/>
            <w:vAlign w:val="center"/>
          </w:tcPr>
          <w:p>
            <w:pPr>
              <w:snapToGrid w:val="0"/>
              <w:rPr>
                <w:sz w:val="24"/>
                <w:szCs w:val="24"/>
              </w:rPr>
            </w:pPr>
            <w:r>
              <w:rPr>
                <w:rFonts w:hint="eastAsia"/>
                <w:sz w:val="24"/>
                <w:szCs w:val="24"/>
              </w:rPr>
              <w:t>全日制普通高校在校生</w:t>
            </w:r>
          </w:p>
        </w:tc>
        <w:tc>
          <w:tcPr>
            <w:tcW w:w="1557" w:type="dxa"/>
            <w:shd w:val="clear" w:color="auto" w:fill="auto"/>
            <w:vAlign w:val="center"/>
          </w:tcPr>
          <w:p>
            <w:pPr>
              <w:snapToGrid w:val="0"/>
              <w:rPr>
                <w:sz w:val="24"/>
                <w:szCs w:val="24"/>
              </w:rPr>
            </w:pPr>
            <w:r>
              <w:rPr>
                <w:rFonts w:hint="eastAsia"/>
                <w:sz w:val="24"/>
                <w:szCs w:val="24"/>
              </w:rPr>
              <w:t>2016年占在校生14.2%</w:t>
            </w:r>
          </w:p>
        </w:tc>
        <w:tc>
          <w:tcPr>
            <w:tcW w:w="1949" w:type="dxa"/>
            <w:shd w:val="clear" w:color="auto" w:fill="auto"/>
            <w:vAlign w:val="center"/>
          </w:tcPr>
          <w:p>
            <w:pPr>
              <w:snapToGrid w:val="0"/>
              <w:rPr>
                <w:sz w:val="24"/>
                <w:szCs w:val="24"/>
              </w:rPr>
            </w:pPr>
            <w:r>
              <w:rPr>
                <w:rFonts w:hint="eastAsia"/>
                <w:sz w:val="24"/>
                <w:szCs w:val="24"/>
              </w:rPr>
              <w:t>具体标准由学校结合实际确定</w:t>
            </w:r>
          </w:p>
        </w:tc>
        <w:tc>
          <w:tcPr>
            <w:tcW w:w="1493" w:type="dxa"/>
            <w:shd w:val="clear" w:color="auto" w:fill="auto"/>
            <w:vAlign w:val="center"/>
          </w:tcPr>
          <w:p>
            <w:pPr>
              <w:snapToGrid w:val="0"/>
              <w:rPr>
                <w:spacing w:val="-20"/>
                <w:sz w:val="24"/>
                <w:szCs w:val="24"/>
              </w:rPr>
            </w:pPr>
            <w:r>
              <w:rPr>
                <w:rFonts w:hint="eastAsia"/>
                <w:spacing w:val="-20"/>
                <w:sz w:val="24"/>
                <w:szCs w:val="24"/>
              </w:rPr>
              <w:t>学校事业收入的4%-6%</w:t>
            </w:r>
          </w:p>
        </w:tc>
        <w:tc>
          <w:tcPr>
            <w:tcW w:w="1335" w:type="dxa"/>
            <w:shd w:val="clear" w:color="auto" w:fill="auto"/>
            <w:vAlign w:val="center"/>
          </w:tcPr>
          <w:p>
            <w:pPr>
              <w:snapToGrid w:val="0"/>
              <w:jc w:val="center"/>
              <w:rPr>
                <w:sz w:val="24"/>
                <w:szCs w:val="24"/>
              </w:rPr>
            </w:pPr>
            <w:r>
              <w:rPr>
                <w:rFonts w:hint="eastAsia"/>
                <w:sz w:val="24"/>
                <w:szCs w:val="24"/>
              </w:rPr>
              <w:t>90年代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1</w:t>
            </w:r>
            <w:r>
              <w:rPr>
                <w:sz w:val="24"/>
                <w:szCs w:val="24"/>
              </w:rPr>
              <w:t>7.特殊困难补助</w:t>
            </w:r>
          </w:p>
        </w:tc>
        <w:tc>
          <w:tcPr>
            <w:tcW w:w="3972" w:type="dxa"/>
            <w:shd w:val="clear" w:color="auto" w:fill="auto"/>
            <w:vAlign w:val="center"/>
          </w:tcPr>
          <w:p>
            <w:pPr>
              <w:snapToGrid w:val="0"/>
              <w:rPr>
                <w:sz w:val="24"/>
                <w:szCs w:val="24"/>
              </w:rPr>
            </w:pPr>
            <w:r>
              <w:rPr>
                <w:rFonts w:hint="eastAsia"/>
                <w:sz w:val="24"/>
                <w:szCs w:val="24"/>
              </w:rPr>
              <w:t>全日制普通高校中家庭经济特别困难、无法缴纳学费的学生，特别是其中的孤残学生、少数民族学生及烈士子女、优抚家庭子女等</w:t>
            </w:r>
          </w:p>
        </w:tc>
        <w:tc>
          <w:tcPr>
            <w:tcW w:w="1557" w:type="dxa"/>
            <w:shd w:val="clear" w:color="auto" w:fill="auto"/>
            <w:vAlign w:val="center"/>
          </w:tcPr>
          <w:p>
            <w:pPr>
              <w:snapToGrid w:val="0"/>
              <w:rPr>
                <w:sz w:val="24"/>
                <w:szCs w:val="24"/>
              </w:rPr>
            </w:pPr>
            <w:r>
              <w:rPr>
                <w:rFonts w:hint="eastAsia"/>
                <w:sz w:val="24"/>
                <w:szCs w:val="24"/>
              </w:rPr>
              <w:t>2016年占在校生4.1%</w:t>
            </w:r>
          </w:p>
        </w:tc>
        <w:tc>
          <w:tcPr>
            <w:tcW w:w="1949" w:type="dxa"/>
            <w:shd w:val="clear" w:color="auto" w:fill="auto"/>
            <w:vAlign w:val="center"/>
          </w:tcPr>
          <w:p>
            <w:pPr>
              <w:snapToGrid w:val="0"/>
              <w:rPr>
                <w:sz w:val="24"/>
                <w:szCs w:val="24"/>
              </w:rPr>
            </w:pPr>
            <w:r>
              <w:rPr>
                <w:rFonts w:hint="eastAsia"/>
                <w:sz w:val="24"/>
                <w:szCs w:val="24"/>
              </w:rPr>
              <w:t>具体标准由学校结合实际确定</w:t>
            </w:r>
          </w:p>
        </w:tc>
        <w:tc>
          <w:tcPr>
            <w:tcW w:w="1493" w:type="dxa"/>
            <w:shd w:val="clear" w:color="auto" w:fill="auto"/>
            <w:vAlign w:val="center"/>
          </w:tcPr>
          <w:p>
            <w:pPr>
              <w:snapToGrid w:val="0"/>
              <w:rPr>
                <w:sz w:val="24"/>
                <w:szCs w:val="24"/>
              </w:rPr>
            </w:pPr>
            <w:r>
              <w:rPr>
                <w:rFonts w:hint="eastAsia"/>
                <w:sz w:val="24"/>
                <w:szCs w:val="24"/>
              </w:rPr>
              <w:t>学校</w:t>
            </w:r>
          </w:p>
        </w:tc>
        <w:tc>
          <w:tcPr>
            <w:tcW w:w="1335" w:type="dxa"/>
            <w:shd w:val="clear" w:color="auto" w:fill="auto"/>
            <w:vAlign w:val="center"/>
          </w:tcPr>
          <w:p>
            <w:pPr>
              <w:snapToGrid w:val="0"/>
              <w:jc w:val="center"/>
              <w:rPr>
                <w:sz w:val="24"/>
                <w:szCs w:val="24"/>
              </w:rPr>
            </w:pPr>
            <w:r>
              <w:rPr>
                <w:rFonts w:hint="eastAsia"/>
                <w:sz w:val="24"/>
                <w:szCs w:val="24"/>
              </w:rPr>
              <w:t>90年代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vMerge w:val="continue"/>
            <w:shd w:val="clear" w:color="auto" w:fill="auto"/>
            <w:vAlign w:val="center"/>
          </w:tcPr>
          <w:p>
            <w:pPr>
              <w:snapToGrid w:val="0"/>
              <w:jc w:val="center"/>
              <w:rPr>
                <w:sz w:val="24"/>
                <w:szCs w:val="24"/>
              </w:rPr>
            </w:pPr>
          </w:p>
        </w:tc>
        <w:tc>
          <w:tcPr>
            <w:tcW w:w="2247" w:type="dxa"/>
            <w:shd w:val="clear" w:color="auto" w:fill="auto"/>
            <w:vAlign w:val="center"/>
          </w:tcPr>
          <w:p>
            <w:pPr>
              <w:snapToGrid w:val="0"/>
              <w:rPr>
                <w:sz w:val="24"/>
                <w:szCs w:val="24"/>
              </w:rPr>
            </w:pPr>
            <w:r>
              <w:rPr>
                <w:rFonts w:hint="eastAsia"/>
                <w:sz w:val="24"/>
                <w:szCs w:val="24"/>
              </w:rPr>
              <w:t>1</w:t>
            </w:r>
            <w:r>
              <w:rPr>
                <w:sz w:val="24"/>
                <w:szCs w:val="24"/>
              </w:rPr>
              <w:t>8.新生入学</w:t>
            </w:r>
            <w:r>
              <w:rPr>
                <w:rFonts w:hint="eastAsia"/>
                <w:sz w:val="24"/>
                <w:szCs w:val="24"/>
              </w:rPr>
              <w:t>“</w:t>
            </w:r>
            <w:r>
              <w:rPr>
                <w:sz w:val="24"/>
                <w:szCs w:val="24"/>
              </w:rPr>
              <w:t>绿色通道</w:t>
            </w:r>
            <w:r>
              <w:rPr>
                <w:rFonts w:hint="eastAsia"/>
                <w:sz w:val="24"/>
                <w:szCs w:val="24"/>
              </w:rPr>
              <w:t>”</w:t>
            </w:r>
          </w:p>
        </w:tc>
        <w:tc>
          <w:tcPr>
            <w:tcW w:w="3972" w:type="dxa"/>
            <w:shd w:val="clear" w:color="auto" w:fill="auto"/>
            <w:vAlign w:val="center"/>
          </w:tcPr>
          <w:p>
            <w:pPr>
              <w:snapToGrid w:val="0"/>
              <w:rPr>
                <w:sz w:val="24"/>
                <w:szCs w:val="24"/>
              </w:rPr>
            </w:pPr>
            <w:r>
              <w:rPr>
                <w:rFonts w:hint="eastAsia"/>
                <w:sz w:val="24"/>
                <w:szCs w:val="24"/>
              </w:rPr>
              <w:t>被高等学校录取入学、家庭经济困难的新生</w:t>
            </w:r>
          </w:p>
        </w:tc>
        <w:tc>
          <w:tcPr>
            <w:tcW w:w="1557" w:type="dxa"/>
            <w:shd w:val="clear" w:color="auto" w:fill="auto"/>
            <w:vAlign w:val="center"/>
          </w:tcPr>
          <w:p>
            <w:pPr>
              <w:snapToGrid w:val="0"/>
              <w:rPr>
                <w:sz w:val="24"/>
                <w:szCs w:val="24"/>
              </w:rPr>
            </w:pPr>
            <w:r>
              <w:rPr>
                <w:rFonts w:hint="eastAsia"/>
                <w:sz w:val="24"/>
                <w:szCs w:val="24"/>
              </w:rPr>
              <w:t>2016年占在校生8.1%</w:t>
            </w:r>
          </w:p>
        </w:tc>
        <w:tc>
          <w:tcPr>
            <w:tcW w:w="1949" w:type="dxa"/>
            <w:shd w:val="clear" w:color="auto" w:fill="auto"/>
            <w:vAlign w:val="center"/>
          </w:tcPr>
          <w:p>
            <w:pPr>
              <w:snapToGrid w:val="0"/>
              <w:rPr>
                <w:sz w:val="24"/>
                <w:szCs w:val="24"/>
              </w:rPr>
            </w:pPr>
            <w:r>
              <w:rPr>
                <w:sz w:val="24"/>
                <w:szCs w:val="24"/>
              </w:rPr>
              <w:t>先办理入学手续，</w:t>
            </w:r>
            <w:r>
              <w:rPr>
                <w:rFonts w:hint="eastAsia"/>
                <w:sz w:val="24"/>
                <w:szCs w:val="24"/>
              </w:rPr>
              <w:t>再</w:t>
            </w:r>
            <w:r>
              <w:rPr>
                <w:sz w:val="24"/>
                <w:szCs w:val="24"/>
              </w:rPr>
              <w:t>根据核实情况予以资助</w:t>
            </w:r>
          </w:p>
        </w:tc>
        <w:tc>
          <w:tcPr>
            <w:tcW w:w="1493" w:type="dxa"/>
            <w:shd w:val="clear" w:color="auto" w:fill="auto"/>
            <w:vAlign w:val="center"/>
          </w:tcPr>
          <w:p>
            <w:pPr>
              <w:snapToGrid w:val="0"/>
              <w:rPr>
                <w:sz w:val="24"/>
                <w:szCs w:val="24"/>
              </w:rPr>
            </w:pPr>
            <w:r>
              <w:rPr>
                <w:rFonts w:hint="eastAsia"/>
                <w:sz w:val="24"/>
                <w:szCs w:val="24"/>
              </w:rPr>
              <w:t>学校</w:t>
            </w:r>
          </w:p>
        </w:tc>
        <w:tc>
          <w:tcPr>
            <w:tcW w:w="1335" w:type="dxa"/>
            <w:shd w:val="clear" w:color="auto" w:fill="auto"/>
            <w:vAlign w:val="center"/>
          </w:tcPr>
          <w:p>
            <w:pPr>
              <w:snapToGrid w:val="0"/>
              <w:jc w:val="center"/>
              <w:rPr>
                <w:sz w:val="24"/>
                <w:szCs w:val="24"/>
              </w:rPr>
            </w:pPr>
            <w:r>
              <w:rPr>
                <w:rFonts w:hint="eastAsia"/>
                <w:sz w:val="24"/>
                <w:szCs w:val="24"/>
              </w:rPr>
              <w:t>2000年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775" w:type="dxa"/>
            <w:shd w:val="clear" w:color="auto" w:fill="auto"/>
            <w:vAlign w:val="center"/>
          </w:tcPr>
          <w:p>
            <w:pPr>
              <w:snapToGrid w:val="0"/>
              <w:jc w:val="center"/>
              <w:rPr>
                <w:sz w:val="24"/>
                <w:szCs w:val="24"/>
              </w:rPr>
            </w:pPr>
            <w:r>
              <w:rPr>
                <w:rFonts w:hint="eastAsia"/>
                <w:sz w:val="24"/>
                <w:szCs w:val="24"/>
              </w:rPr>
              <w:t>其他</w:t>
            </w:r>
          </w:p>
        </w:tc>
        <w:tc>
          <w:tcPr>
            <w:tcW w:w="2247" w:type="dxa"/>
            <w:shd w:val="clear" w:color="auto" w:fill="auto"/>
            <w:vAlign w:val="center"/>
          </w:tcPr>
          <w:p>
            <w:pPr>
              <w:snapToGrid w:val="0"/>
              <w:rPr>
                <w:sz w:val="24"/>
                <w:szCs w:val="24"/>
              </w:rPr>
            </w:pPr>
            <w:r>
              <w:rPr>
                <w:rFonts w:hint="eastAsia"/>
                <w:sz w:val="24"/>
                <w:szCs w:val="24"/>
                <w:lang w:val="en-US" w:eastAsia="zh-CN"/>
              </w:rPr>
              <w:t>19</w:t>
            </w:r>
            <w:r>
              <w:rPr>
                <w:rFonts w:hint="eastAsia"/>
                <w:sz w:val="24"/>
                <w:szCs w:val="24"/>
              </w:rPr>
              <w:t>.社会捐助</w:t>
            </w:r>
          </w:p>
        </w:tc>
        <w:tc>
          <w:tcPr>
            <w:tcW w:w="3972" w:type="dxa"/>
            <w:shd w:val="clear" w:color="auto" w:fill="auto"/>
            <w:vAlign w:val="center"/>
          </w:tcPr>
          <w:p>
            <w:pPr>
              <w:snapToGrid w:val="0"/>
              <w:rPr>
                <w:sz w:val="24"/>
                <w:szCs w:val="24"/>
              </w:rPr>
            </w:pPr>
            <w:r>
              <w:rPr>
                <w:rFonts w:hint="eastAsia"/>
                <w:sz w:val="24"/>
                <w:szCs w:val="24"/>
              </w:rPr>
              <w:t>各级各类学校学生，具体由捐助单位和捐助人确定</w:t>
            </w:r>
          </w:p>
        </w:tc>
        <w:tc>
          <w:tcPr>
            <w:tcW w:w="1557" w:type="dxa"/>
            <w:shd w:val="clear" w:color="auto" w:fill="auto"/>
            <w:vAlign w:val="center"/>
          </w:tcPr>
          <w:p>
            <w:pPr>
              <w:snapToGrid w:val="0"/>
              <w:rPr>
                <w:sz w:val="24"/>
                <w:szCs w:val="24"/>
              </w:rPr>
            </w:pPr>
            <w:r>
              <w:rPr>
                <w:rFonts w:hint="eastAsia"/>
                <w:sz w:val="24"/>
                <w:szCs w:val="24"/>
              </w:rPr>
              <w:t>2016年占高校在校生的0.48%</w:t>
            </w:r>
          </w:p>
        </w:tc>
        <w:tc>
          <w:tcPr>
            <w:tcW w:w="1949" w:type="dxa"/>
            <w:shd w:val="clear" w:color="auto" w:fill="auto"/>
            <w:vAlign w:val="center"/>
          </w:tcPr>
          <w:p>
            <w:pPr>
              <w:snapToGrid w:val="0"/>
              <w:rPr>
                <w:sz w:val="24"/>
                <w:szCs w:val="24"/>
              </w:rPr>
            </w:pPr>
            <w:r>
              <w:rPr>
                <w:rFonts w:hint="eastAsia"/>
                <w:sz w:val="24"/>
                <w:szCs w:val="24"/>
              </w:rPr>
              <w:t>具体标准由捐助单位和捐助人确定</w:t>
            </w:r>
          </w:p>
        </w:tc>
        <w:tc>
          <w:tcPr>
            <w:tcW w:w="1493" w:type="dxa"/>
            <w:shd w:val="clear" w:color="auto" w:fill="auto"/>
            <w:vAlign w:val="center"/>
          </w:tcPr>
          <w:p>
            <w:pPr>
              <w:snapToGrid w:val="0"/>
              <w:rPr>
                <w:sz w:val="24"/>
                <w:szCs w:val="24"/>
              </w:rPr>
            </w:pPr>
            <w:r>
              <w:rPr>
                <w:rFonts w:hint="eastAsia"/>
                <w:sz w:val="24"/>
                <w:szCs w:val="24"/>
              </w:rPr>
              <w:t>企业、社会团体、个人、非营利组织</w:t>
            </w:r>
          </w:p>
        </w:tc>
        <w:tc>
          <w:tcPr>
            <w:tcW w:w="1335" w:type="dxa"/>
            <w:shd w:val="clear" w:color="auto" w:fill="auto"/>
            <w:vAlign w:val="center"/>
          </w:tcPr>
          <w:p>
            <w:pPr>
              <w:snapToGrid w:val="0"/>
              <w:jc w:val="center"/>
              <w:rPr>
                <w:sz w:val="24"/>
                <w:szCs w:val="24"/>
              </w:rPr>
            </w:pPr>
            <w:r>
              <w:rPr>
                <w:rFonts w:hint="eastAsia"/>
                <w:sz w:val="24"/>
                <w:szCs w:val="24"/>
              </w:rPr>
              <w:t>2007年</w:t>
            </w:r>
          </w:p>
        </w:tc>
      </w:tr>
    </w:tbl>
    <w:p>
      <w:pPr>
        <w:snapToGrid w:val="0"/>
        <w:ind w:firstLine="500" w:firstLineChars="500"/>
        <w:rPr>
          <w:rFonts w:ascii="仿宋" w:hAnsi="仿宋" w:eastAsia="仿宋"/>
          <w:sz w:val="10"/>
          <w:szCs w:val="10"/>
        </w:rPr>
      </w:pPr>
    </w:p>
    <w:p>
      <w:pPr>
        <w:snapToGrid w:val="0"/>
        <w:ind w:firstLine="500" w:firstLineChars="500"/>
        <w:rPr>
          <w:rFonts w:ascii="仿宋" w:hAnsi="仿宋" w:eastAsia="仿宋"/>
          <w:sz w:val="10"/>
          <w:szCs w:val="10"/>
        </w:rPr>
      </w:pPr>
    </w:p>
    <w:p>
      <w:pPr>
        <w:snapToGrid w:val="0"/>
        <w:ind w:firstLine="500" w:firstLineChars="500"/>
        <w:rPr>
          <w:rFonts w:ascii="仿宋" w:hAnsi="仿宋" w:eastAsia="仿宋"/>
          <w:sz w:val="10"/>
          <w:szCs w:val="10"/>
        </w:rPr>
      </w:pPr>
    </w:p>
    <w:p>
      <w:pPr>
        <w:rPr>
          <w:szCs w:val="30"/>
        </w:rPr>
        <w:sectPr>
          <w:footerReference r:id="rId5" w:type="default"/>
          <w:footerReference r:id="rId6" w:type="even"/>
          <w:pgSz w:w="16838" w:h="11906" w:orient="landscape"/>
          <w:pgMar w:top="1644" w:right="1928" w:bottom="1588" w:left="1985" w:header="0" w:footer="1588" w:gutter="0"/>
          <w:cols w:space="425" w:num="1"/>
          <w:docGrid w:type="linesAndChars" w:linePitch="587" w:charSpace="0"/>
        </w:sectPr>
      </w:pPr>
    </w:p>
    <w:p>
      <w:pPr>
        <w:rPr>
          <w:szCs w:val="30"/>
        </w:rPr>
      </w:pPr>
      <w:r>
        <w:rPr>
          <w:rFonts w:hint="eastAsia" w:ascii="黑体" w:hAnsi="黑体" w:eastAsia="黑体"/>
          <w:szCs w:val="30"/>
        </w:rPr>
        <w:t>附件3：</w:t>
      </w:r>
    </w:p>
    <w:p>
      <w:pPr>
        <w:jc w:val="center"/>
        <w:rPr>
          <w:szCs w:val="30"/>
        </w:rPr>
      </w:pPr>
      <w:r>
        <w:rPr>
          <w:rFonts w:hint="eastAsia" w:ascii="方正小标宋简体" w:eastAsia="方正小标宋简体"/>
          <w:sz w:val="44"/>
          <w:szCs w:val="44"/>
        </w:rPr>
        <w:t>河南省建档立卡贫困家庭学生资助政策内容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2016年，我省出台《河南省教育脱贫专项方案》（豫</w:t>
      </w:r>
      <w:r>
        <w:rPr>
          <w:rFonts w:ascii="仿宋_GB2312" w:hAnsi="微软雅黑" w:eastAsia="仿宋_GB2312" w:cs="仿宋_GB2312"/>
          <w:b w:val="0"/>
          <w:i w:val="0"/>
          <w:caps w:val="0"/>
          <w:color w:val="000000"/>
          <w:spacing w:val="0"/>
          <w:kern w:val="0"/>
          <w:sz w:val="28"/>
          <w:szCs w:val="28"/>
          <w:lang w:val="en-US" w:eastAsia="zh-CN" w:bidi="ar"/>
        </w:rPr>
        <w:t>政办</w:t>
      </w:r>
      <w:r>
        <w:rPr>
          <w:rFonts w:hint="eastAsia" w:ascii="仿宋_GB2312" w:hAnsi="微软雅黑" w:eastAsia="仿宋_GB2312" w:cs="仿宋_GB2312"/>
          <w:b w:val="0"/>
          <w:i w:val="0"/>
          <w:caps w:val="0"/>
          <w:color w:val="000000"/>
          <w:spacing w:val="0"/>
          <w:kern w:val="0"/>
          <w:sz w:val="28"/>
          <w:szCs w:val="28"/>
          <w:lang w:val="en-US" w:eastAsia="zh-CN" w:bidi="ar"/>
        </w:rPr>
        <w:t>〔2016〕120号</w:t>
      </w:r>
      <w:r>
        <w:rPr>
          <w:rFonts w:ascii="仿宋_GB2312" w:hAnsi="微软雅黑" w:eastAsia="仿宋_GB2312" w:cs="仿宋_GB2312"/>
          <w:b w:val="0"/>
          <w:i w:val="0"/>
          <w:caps w:val="0"/>
          <w:color w:val="000000"/>
          <w:spacing w:val="0"/>
          <w:kern w:val="0"/>
          <w:sz w:val="28"/>
          <w:szCs w:val="28"/>
          <w:lang w:val="en-US" w:eastAsia="zh-CN" w:bidi="ar"/>
        </w:rPr>
        <w:t>）</w:t>
      </w:r>
      <w:r>
        <w:rPr>
          <w:rFonts w:hint="eastAsia" w:ascii="仿宋_GB2312" w:hAnsi="微软雅黑" w:eastAsia="仿宋_GB2312" w:cs="仿宋_GB2312"/>
          <w:b w:val="0"/>
          <w:i w:val="0"/>
          <w:caps w:val="0"/>
          <w:color w:val="000000"/>
          <w:spacing w:val="0"/>
          <w:kern w:val="0"/>
          <w:sz w:val="28"/>
          <w:szCs w:val="28"/>
          <w:lang w:val="en-US" w:eastAsia="zh-CN" w:bidi="ar"/>
        </w:rPr>
        <w:t>，实施了全面覆盖建档立卡贫困家庭学生资助政策：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1.学前教育。按照年生均600元标准补助建档立卡贫困家庭3-6岁儿童学前教育保教费，并按照年生均400元的标准发放生活补助费。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2.义务教育。对建档立卡贫困家庭义务教育阶段学生，在免除学杂费、教科书费基础上，按照年生均小学生1000元、初中生1250元标准对寄宿生发放生活补助费。将学生营养改善计划实施范围扩大到全省建档立卡贫困家庭义务教育阶段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3.普通高中教育。免除建档立卡贫困家庭学生普通高中学费、住宿费，并按照每生每年2000元的标准发放国家助学金。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4.中等职业教育。免除中等职业学校全日制正式学籍建档立卡贫困家庭学生学费，并按照每生每年2000元的标准发放国家助学金、每生每年2000元的标准发放“雨露计划”扶贫助学补助。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ascii="仿宋_GB2312" w:hAnsi="微软雅黑" w:eastAsia="仿宋_GB2312" w:cs="仿宋_GB2312"/>
          <w:b w:val="0"/>
          <w:i w:val="0"/>
          <w:caps w:val="0"/>
          <w:color w:val="000000"/>
          <w:spacing w:val="0"/>
          <w:kern w:val="0"/>
          <w:sz w:val="28"/>
          <w:szCs w:val="28"/>
          <w:lang w:val="en-US" w:eastAsia="zh-CN" w:bidi="ar"/>
        </w:rPr>
      </w:pPr>
      <w:r>
        <w:rPr>
          <w:rFonts w:hint="eastAsia" w:ascii="仿宋_GB2312" w:hAnsi="微软雅黑" w:eastAsia="仿宋_GB2312" w:cs="仿宋_GB2312"/>
          <w:b w:val="0"/>
          <w:i w:val="0"/>
          <w:caps w:val="0"/>
          <w:color w:val="000000"/>
          <w:spacing w:val="0"/>
          <w:kern w:val="0"/>
          <w:sz w:val="28"/>
          <w:szCs w:val="28"/>
          <w:lang w:val="en-US" w:eastAsia="zh-CN" w:bidi="ar"/>
        </w:rPr>
        <w:t>5.高等教育。对在本省就读的建档立卡贫困家庭普通本科学生、硕士研究生、博士研究生，分别按照每生每年4000元、6000元、13000元标准发放国家助学金。专科学生按照每生每年4000元标准发放国家助学金，并按照每生每年2000元标准发放“雨露计划”扶贫助学补助。从高校事业收入中提取的学生资助经费，优先用于建档立卡贫困家庭学生。对完成学业仍有经济困难的学生，各高校通过安排勤工助学岗位、发放特殊困难补贴等措施解决。对考入省外高校的建档立卡贫困家庭学生，优先发放生源地信用助学贷款。鼓励建档立卡贫困家庭学生勤奋学习，争取获得国家奖学金、国家励志奖学金。</w:t>
      </w:r>
    </w:p>
    <w:p>
      <w:pPr>
        <w:ind w:firstLine="600" w:firstLineChars="200"/>
        <w:rPr>
          <w:szCs w:val="30"/>
        </w:rPr>
      </w:pPr>
    </w:p>
    <w:p>
      <w:pPr>
        <w:ind w:firstLine="600" w:firstLineChars="200"/>
        <w:rPr>
          <w:szCs w:val="30"/>
        </w:rPr>
      </w:pPr>
    </w:p>
    <w:p>
      <w:pPr>
        <w:widowControl/>
        <w:jc w:val="left"/>
        <w:rPr>
          <w:rFonts w:hAnsi="黑体" w:eastAsia="黑体"/>
          <w:color w:val="000000"/>
        </w:rPr>
      </w:pPr>
      <w:r>
        <w:rPr>
          <w:rFonts w:hAnsi="黑体" w:eastAsia="黑体"/>
          <w:color w:val="000000"/>
        </w:rPr>
        <w:br w:type="page"/>
      </w:r>
    </w:p>
    <w:p>
      <w:pPr>
        <w:adjustRightInd w:val="0"/>
        <w:snapToGrid w:val="0"/>
        <w:spacing w:after="293" w:afterLines="50"/>
        <w:rPr>
          <w:rFonts w:eastAsia="黑体"/>
          <w:color w:val="000000"/>
        </w:rPr>
      </w:pPr>
      <w:r>
        <w:rPr>
          <w:rFonts w:hAnsi="黑体" w:eastAsia="黑体"/>
          <w:color w:val="000000"/>
        </w:rPr>
        <w:t>附件</w:t>
      </w:r>
      <w:r>
        <w:rPr>
          <w:rFonts w:hint="eastAsia" w:hAnsi="黑体" w:eastAsia="黑体"/>
          <w:color w:val="000000"/>
        </w:rPr>
        <w:t>4</w:t>
      </w:r>
      <w:r>
        <w:rPr>
          <w:rFonts w:hAnsi="黑体" w:eastAsia="黑体"/>
          <w:color w:val="000000"/>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420"/>
        <w:jc w:val="center"/>
        <w:rPr>
          <w:rFonts w:ascii="微软雅黑" w:hAnsi="微软雅黑" w:eastAsia="微软雅黑" w:cs="微软雅黑"/>
          <w:b w:val="0"/>
          <w:i w:val="0"/>
          <w:caps w:val="0"/>
          <w:color w:val="444444"/>
          <w:spacing w:val="0"/>
          <w:sz w:val="21"/>
          <w:szCs w:val="21"/>
        </w:rPr>
      </w:pPr>
      <w:r>
        <w:rPr>
          <w:rFonts w:ascii="方正大标宋_GBK" w:hAnsi="方正大标宋_GBK" w:eastAsia="方正大标宋_GBK" w:cs="方正大标宋_GBK"/>
          <w:b w:val="0"/>
          <w:i w:val="0"/>
          <w:caps w:val="0"/>
          <w:color w:val="000000"/>
          <w:spacing w:val="0"/>
          <w:kern w:val="0"/>
          <w:sz w:val="44"/>
          <w:szCs w:val="44"/>
          <w:lang w:val="en-US" w:eastAsia="zh-CN" w:bidi="ar"/>
        </w:rPr>
        <w:t>河南省家庭经济困难学生资助政策介绍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420"/>
        <w:jc w:val="center"/>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val="0"/>
          <w:i w:val="0"/>
          <w:caps w:val="0"/>
          <w:color w:val="444444"/>
          <w:spacing w:val="0"/>
          <w:kern w:val="0"/>
          <w:sz w:val="28"/>
          <w:szCs w:val="28"/>
          <w:lang w:val="en-US" w:eastAsia="zh-CN" w:bidi="ar"/>
        </w:rPr>
        <w:t>（2017年7月12日）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ascii="仿宋_GB2312" w:hAnsi="微软雅黑" w:eastAsia="仿宋_GB2312" w:cs="仿宋_GB2312"/>
          <w:b w:val="0"/>
          <w:i w:val="0"/>
          <w:caps w:val="0"/>
          <w:color w:val="000000"/>
          <w:spacing w:val="0"/>
          <w:kern w:val="0"/>
          <w:sz w:val="28"/>
          <w:szCs w:val="28"/>
          <w:lang w:val="en-US" w:eastAsia="zh-CN" w:bidi="ar"/>
        </w:rPr>
        <w:t>教育公平是社会公平的重要基础，是国家基本教育政策。党中央、国务院高度重视家庭经济困难学生就学问题，建立了较为完善的国家学生资助政策体系，保障所有家庭经济困难学生都有平等接受教育的机会，促进教育公平。通过国家资助切实减轻困难家庭供应子女上学的经济负担，传递党和政府的关怀、社会主义大家庭的温暖，是保障和改善民生的重要举措；通过国家资助让每一个家庭经济困难学生都能成为有用之才，帮助家庭经济困难学生消除贫困代际传递，是实现国家长治久安、建设社会主义和谐社会的本质要求；通过国家资助保障每个公民的受教育权利，对于巩固义务教育普及成果、加快普及高中阶段教育步伐、进一步提升高等教育大众化水平具有重要作用，是教育事业科学发展、建设人力资源强国的迫切需要。</w:t>
      </w:r>
      <w:r>
        <w:rPr>
          <w:rFonts w:hint="eastAsia" w:ascii="微软雅黑" w:hAnsi="微软雅黑" w:eastAsia="微软雅黑" w:cs="微软雅黑"/>
          <w:b w:val="0"/>
          <w:i w:val="0"/>
          <w:caps w:val="0"/>
          <w:color w:val="000000"/>
          <w:spacing w:val="0"/>
          <w:kern w:val="0"/>
          <w:sz w:val="28"/>
          <w:szCs w:val="28"/>
          <w:lang w:val="en-US" w:eastAsia="zh-CN" w:bidi="ar"/>
        </w:rPr>
        <w:t>2007</w:t>
      </w:r>
      <w:r>
        <w:rPr>
          <w:rFonts w:hint="eastAsia" w:ascii="仿宋_GB2312" w:hAnsi="微软雅黑" w:eastAsia="仿宋_GB2312" w:cs="仿宋_GB2312"/>
          <w:b w:val="0"/>
          <w:i w:val="0"/>
          <w:caps w:val="0"/>
          <w:color w:val="000000"/>
          <w:spacing w:val="0"/>
          <w:kern w:val="0"/>
          <w:sz w:val="28"/>
          <w:szCs w:val="28"/>
          <w:lang w:val="en-US" w:eastAsia="zh-CN" w:bidi="ar"/>
        </w:rPr>
        <w:t>年以来，国家及我省连续出台了多项学生资助政策，建立了从研究生教育到学前教育各个阶段的家庭经济困难学生资助政策体系，在制度上保障了各级各类学校家庭经济困难学生顺利入学并完成学业。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ascii="黑体" w:hAnsi="宋体" w:eastAsia="黑体" w:cs="黑体"/>
          <w:b w:val="0"/>
          <w:i w:val="0"/>
          <w:caps w:val="0"/>
          <w:color w:val="000000"/>
          <w:spacing w:val="0"/>
          <w:kern w:val="0"/>
          <w:sz w:val="28"/>
          <w:szCs w:val="28"/>
          <w:lang w:val="en-US" w:eastAsia="zh-CN" w:bidi="ar"/>
        </w:rPr>
        <w:t>一、高校家庭经济困难学生资助政策体系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2007</w:t>
      </w:r>
      <w:r>
        <w:rPr>
          <w:rFonts w:hint="eastAsia" w:ascii="仿宋_GB2312" w:hAnsi="微软雅黑" w:eastAsia="仿宋_GB2312" w:cs="仿宋_GB2312"/>
          <w:b w:val="0"/>
          <w:i w:val="0"/>
          <w:caps w:val="0"/>
          <w:color w:val="000000"/>
          <w:spacing w:val="0"/>
          <w:kern w:val="0"/>
          <w:sz w:val="28"/>
          <w:szCs w:val="28"/>
          <w:lang w:val="en-US" w:eastAsia="zh-CN" w:bidi="ar"/>
        </w:rPr>
        <w:t>年</w:t>
      </w:r>
      <w:r>
        <w:rPr>
          <w:rFonts w:hint="eastAsia" w:ascii="微软雅黑" w:hAnsi="微软雅黑" w:eastAsia="微软雅黑" w:cs="微软雅黑"/>
          <w:b w:val="0"/>
          <w:i w:val="0"/>
          <w:caps w:val="0"/>
          <w:color w:val="000000"/>
          <w:spacing w:val="0"/>
          <w:kern w:val="0"/>
          <w:sz w:val="28"/>
          <w:szCs w:val="28"/>
          <w:lang w:val="en-US" w:eastAsia="zh-CN" w:bidi="ar"/>
        </w:rPr>
        <w:t>5</w:t>
      </w:r>
      <w:r>
        <w:rPr>
          <w:rFonts w:hint="eastAsia" w:ascii="仿宋_GB2312" w:hAnsi="微软雅黑" w:eastAsia="仿宋_GB2312" w:cs="仿宋_GB2312"/>
          <w:b w:val="0"/>
          <w:i w:val="0"/>
          <w:caps w:val="0"/>
          <w:color w:val="000000"/>
          <w:spacing w:val="0"/>
          <w:kern w:val="0"/>
          <w:sz w:val="28"/>
          <w:szCs w:val="28"/>
          <w:lang w:val="en-US" w:eastAsia="zh-CN" w:bidi="ar"/>
        </w:rPr>
        <w:t>月，国务院出台《关于建立健全普通本科高校、高等职业学校和中等职业学校家庭经济困难学生资助政策体系的意见》（国发〔</w:t>
      </w:r>
      <w:r>
        <w:rPr>
          <w:rFonts w:hint="eastAsia" w:ascii="微软雅黑" w:hAnsi="微软雅黑" w:eastAsia="微软雅黑" w:cs="微软雅黑"/>
          <w:b w:val="0"/>
          <w:i w:val="0"/>
          <w:caps w:val="0"/>
          <w:color w:val="000000"/>
          <w:spacing w:val="0"/>
          <w:kern w:val="0"/>
          <w:sz w:val="28"/>
          <w:szCs w:val="28"/>
          <w:lang w:val="en-US" w:eastAsia="zh-CN" w:bidi="ar"/>
        </w:rPr>
        <w:t>2007</w:t>
      </w: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13</w:t>
      </w:r>
      <w:r>
        <w:rPr>
          <w:rFonts w:hint="eastAsia" w:ascii="仿宋_GB2312" w:hAnsi="微软雅黑" w:eastAsia="仿宋_GB2312" w:cs="仿宋_GB2312"/>
          <w:b w:val="0"/>
          <w:i w:val="0"/>
          <w:caps w:val="0"/>
          <w:color w:val="000000"/>
          <w:spacing w:val="0"/>
          <w:kern w:val="0"/>
          <w:sz w:val="28"/>
          <w:szCs w:val="28"/>
          <w:lang w:val="en-US" w:eastAsia="zh-CN" w:bidi="ar"/>
        </w:rPr>
        <w:t>号），高等学校家庭经济困难学生资助政策体系得到了较大完善。</w:t>
      </w:r>
      <w:r>
        <w:rPr>
          <w:rFonts w:hint="eastAsia" w:ascii="微软雅黑" w:hAnsi="微软雅黑" w:eastAsia="微软雅黑" w:cs="微软雅黑"/>
          <w:b w:val="0"/>
          <w:i w:val="0"/>
          <w:caps w:val="0"/>
          <w:color w:val="000000"/>
          <w:spacing w:val="0"/>
          <w:kern w:val="0"/>
          <w:sz w:val="28"/>
          <w:szCs w:val="28"/>
          <w:lang w:val="en-US" w:eastAsia="zh-CN" w:bidi="ar"/>
        </w:rPr>
        <w:t>2010</w:t>
      </w:r>
      <w:r>
        <w:rPr>
          <w:rFonts w:hint="eastAsia" w:ascii="仿宋_GB2312" w:hAnsi="微软雅黑" w:eastAsia="仿宋_GB2312" w:cs="仿宋_GB2312"/>
          <w:b w:val="0"/>
          <w:i w:val="0"/>
          <w:caps w:val="0"/>
          <w:color w:val="000000"/>
          <w:spacing w:val="0"/>
          <w:kern w:val="0"/>
          <w:sz w:val="28"/>
          <w:szCs w:val="28"/>
          <w:lang w:val="en-US" w:eastAsia="zh-CN" w:bidi="ar"/>
        </w:rPr>
        <w:t>年《国家中长期教育改革和发展规划纲要（</w:t>
      </w:r>
      <w:r>
        <w:rPr>
          <w:rFonts w:hint="eastAsia" w:ascii="微软雅黑" w:hAnsi="微软雅黑" w:eastAsia="微软雅黑" w:cs="微软雅黑"/>
          <w:b w:val="0"/>
          <w:i w:val="0"/>
          <w:caps w:val="0"/>
          <w:color w:val="000000"/>
          <w:spacing w:val="0"/>
          <w:kern w:val="0"/>
          <w:sz w:val="28"/>
          <w:szCs w:val="28"/>
          <w:lang w:val="en-US" w:eastAsia="zh-CN" w:bidi="ar"/>
        </w:rPr>
        <w:t>2010—2020</w:t>
      </w:r>
      <w:r>
        <w:rPr>
          <w:rFonts w:hint="eastAsia" w:ascii="仿宋_GB2312" w:hAnsi="微软雅黑" w:eastAsia="仿宋_GB2312" w:cs="仿宋_GB2312"/>
          <w:b w:val="0"/>
          <w:i w:val="0"/>
          <w:caps w:val="0"/>
          <w:color w:val="000000"/>
          <w:spacing w:val="0"/>
          <w:kern w:val="0"/>
          <w:sz w:val="28"/>
          <w:szCs w:val="28"/>
          <w:lang w:val="en-US" w:eastAsia="zh-CN" w:bidi="ar"/>
        </w:rPr>
        <w:t>年）》颁布实施后，国家密集出台了一系列高校学生资助政策和措施，高等学校家庭经济困难学生资助政策体系得以进一步完善。近年来，我省全面落实国家出台的各项学生资助政策，不断加强资助监管、创新管理举措，逐步建立了较为完善的高校家庭经济困难学生资助政策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（一）高校家庭经济困难学生资助政策体系主要内容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目前，我省已在高等教育阶段建立起国家奖学金、国家励志奖学金、国家助学金、国家助学贷款（包括校园地国家助学贷款和生源地信用助学贷款）、师范生免费教育、高校大学生服义务兵役学费补偿贷款代偿、直接招收士官学费补偿贷款代偿及退役士兵教育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此外，还积极引导和鼓励社会团体、企业和个人面向高校设立奖学金、助学金，共同帮助高校家庭经济困难学生顺利入学并完成学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（二）高校家庭经济困难学生的定义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家庭经济困难学生是指学生本人及其家庭所能筹集到的资金，难以支付其在校学习期间学习和生活基本费用的学生。学生需向学校申报家庭经济困难，由学校根据有关部门设置的标准和规定的程序、以民主评议方式认定。学生在申请家庭经济困难认定时，必须提交家庭所在地的乡（镇）或街道民政部门加盖公章予以确认的《高等学校学生及家庭情况调查表》，证明自己的家庭经济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（三）高校资助政策实施范围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公办普通本科高校、高等职业学校和高等专科学校的全日制普通本专科（含高职、第二学士学位）在校学生，符合国家规定条件的，享受国家的资助政策。按照国家有关规定规范办学、从事业收入中足额提取</w:t>
      </w:r>
      <w:r>
        <w:rPr>
          <w:rFonts w:hint="eastAsia" w:ascii="微软雅黑" w:hAnsi="微软雅黑" w:eastAsia="微软雅黑" w:cs="微软雅黑"/>
          <w:b w:val="0"/>
          <w:i w:val="0"/>
          <w:caps w:val="0"/>
          <w:color w:val="000000"/>
          <w:spacing w:val="0"/>
          <w:kern w:val="0"/>
          <w:sz w:val="28"/>
          <w:szCs w:val="28"/>
          <w:lang w:val="en-US" w:eastAsia="zh-CN" w:bidi="ar"/>
        </w:rPr>
        <w:t>4-6%</w:t>
      </w:r>
      <w:r>
        <w:rPr>
          <w:rFonts w:hint="eastAsia" w:ascii="仿宋_GB2312" w:hAnsi="微软雅黑" w:eastAsia="仿宋_GB2312" w:cs="仿宋_GB2312"/>
          <w:b w:val="0"/>
          <w:i w:val="0"/>
          <w:caps w:val="0"/>
          <w:color w:val="000000"/>
          <w:spacing w:val="0"/>
          <w:kern w:val="0"/>
          <w:sz w:val="28"/>
          <w:szCs w:val="28"/>
          <w:lang w:val="en-US" w:eastAsia="zh-CN" w:bidi="ar"/>
        </w:rPr>
        <w:t>的经费用来资助家庭经济困难学生的民办高校（含独立学院）招收的全日制普通本专科（含高职、第二学士学位）学生，符合国家规定条件的，也可享受国家资助政策。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（四）绿色通道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为切实保证家庭经济困难学生顺利入学，教育部、国家发改委、财政部规定各全日制普通高等学校都必须建立“绿色通道”制度，即对被录取入学、家庭经济困难的新生，学校一律先办理入学手续，然后再根据核实后的情况，分别采取不同办法予以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（五）国家助学贷款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贷款是由政府主导，金融机构向高校家庭经济困难学生提供的信用助学贷款，帮助解决在校期间的学费和住宿费。国家助学贷款利率执行中国人民银行同期公布的同档次基准利率，以后随人民银行利率变化及合同约定作相应的变动。贷款学生在校期间的国家助学贷款利息全部由财政支付，毕业后的利息由借款人全额支付。为鼓励金融机构承办国家助学贷款的积极性，建立贷款风险分担机制，财政（高校）对经办银行给予一定的风险补偿。国家助学贷款是信用贷款，学生不需要办理贷款担保或抵押，但需要承诺按期还款，并承担相关法律责任。按照学生申办地点及工作流程不同，国家助学贷款分为校园地国家助学贷款与生源地信用助学贷款两种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．高校国家助学贷款</w:t>
      </w:r>
      <w:r>
        <w:rPr>
          <w:rFonts w:hint="eastAsia" w:ascii="仿宋_GB2312" w:hAnsi="微软雅黑" w:eastAsia="仿宋_GB2312" w:cs="仿宋_GB2312"/>
          <w:b w:val="0"/>
          <w:i w:val="0"/>
          <w:caps w:val="0"/>
          <w:color w:val="000000"/>
          <w:spacing w:val="0"/>
          <w:kern w:val="0"/>
          <w:sz w:val="28"/>
          <w:szCs w:val="28"/>
          <w:lang w:val="en-US" w:eastAsia="zh-CN" w:bidi="ar"/>
        </w:rPr>
        <w:t>（校园地国家助学贷款）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已被普通高校、科研院所、党校、行政学院、会计学院等培养单位正式录取的河南籍家庭经济困难的全日制普通本专科生（含第二学士学位学生）、研究生和预科生，通过本校学生资助部门向经办银行申请办理的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1</w:t>
      </w:r>
      <w:r>
        <w:rPr>
          <w:rFonts w:hint="eastAsia" w:ascii="仿宋_GB2312" w:hAnsi="微软雅黑" w:eastAsia="仿宋_GB2312" w:cs="仿宋_GB2312"/>
          <w:b w:val="0"/>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以上学生具备以下条件的可以申请高校国家助学贷款：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家庭经济困难；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具有中华人民共和国国籍，年满</w:t>
      </w:r>
      <w:r>
        <w:rPr>
          <w:rFonts w:hint="eastAsia" w:ascii="微软雅黑" w:hAnsi="微软雅黑" w:eastAsia="微软雅黑" w:cs="微软雅黑"/>
          <w:b w:val="0"/>
          <w:i w:val="0"/>
          <w:caps w:val="0"/>
          <w:color w:val="000000"/>
          <w:spacing w:val="0"/>
          <w:kern w:val="0"/>
          <w:sz w:val="28"/>
          <w:szCs w:val="28"/>
          <w:lang w:val="en-US" w:eastAsia="zh-CN" w:bidi="ar"/>
        </w:rPr>
        <w:t>16</w:t>
      </w:r>
      <w:r>
        <w:rPr>
          <w:rFonts w:hint="eastAsia" w:ascii="仿宋_GB2312" w:hAnsi="微软雅黑" w:eastAsia="仿宋_GB2312" w:cs="仿宋_GB2312"/>
          <w:b w:val="0"/>
          <w:i w:val="0"/>
          <w:caps w:val="0"/>
          <w:color w:val="000000"/>
          <w:spacing w:val="0"/>
          <w:kern w:val="0"/>
          <w:sz w:val="28"/>
          <w:szCs w:val="28"/>
          <w:lang w:val="en-US" w:eastAsia="zh-CN" w:bidi="ar"/>
        </w:rPr>
        <w:t>周岁的需持有</w:t>
      </w:r>
      <w:r>
        <w:rPr>
          <w:rFonts w:hint="eastAsia" w:ascii="仿宋_GB2312" w:hAnsi="微软雅黑" w:eastAsia="仿宋_GB2312" w:cs="仿宋_GB2312"/>
          <w:b w:val="0"/>
          <w:i w:val="0"/>
          <w:caps w:val="0"/>
          <w:color w:val="auto"/>
          <w:spacing w:val="0"/>
          <w:kern w:val="0"/>
          <w:sz w:val="28"/>
          <w:szCs w:val="28"/>
          <w:lang w:val="en-US" w:eastAsia="zh-CN" w:bidi="ar"/>
        </w:rPr>
        <w:t>中华人民共和国</w:t>
      </w:r>
      <w:r>
        <w:rPr>
          <w:rFonts w:hint="eastAsia" w:ascii="仿宋_GB2312" w:hAnsi="微软雅黑" w:eastAsia="仿宋_GB2312" w:cs="仿宋_GB2312"/>
          <w:b w:val="0"/>
          <w:i w:val="0"/>
          <w:caps w:val="0"/>
          <w:color w:val="000000"/>
          <w:spacing w:val="0"/>
          <w:kern w:val="0"/>
          <w:sz w:val="28"/>
          <w:szCs w:val="28"/>
          <w:lang w:val="en-US" w:eastAsia="zh-CN" w:bidi="ar"/>
        </w:rPr>
        <w:t>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具有完全民事行为能力（未成年人申请国家助学贷款须由其法定监护人书面同意）；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诚实守信，遵纪守法，无违法违纪行为；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⑤</w:t>
      </w:r>
      <w:r>
        <w:rPr>
          <w:rFonts w:hint="eastAsia" w:ascii="仿宋_GB2312" w:hAnsi="微软雅黑" w:eastAsia="仿宋_GB2312" w:cs="仿宋_GB2312"/>
          <w:b w:val="0"/>
          <w:i w:val="0"/>
          <w:caps w:val="0"/>
          <w:color w:val="000000"/>
          <w:spacing w:val="0"/>
          <w:kern w:val="0"/>
          <w:sz w:val="28"/>
          <w:szCs w:val="28"/>
          <w:lang w:val="en-US" w:eastAsia="zh-CN" w:bidi="ar"/>
        </w:rPr>
        <w:t>学习努力，能够正常完成学业。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2</w:t>
      </w:r>
      <w:r>
        <w:rPr>
          <w:rFonts w:hint="eastAsia" w:ascii="仿宋_GB2312" w:hAnsi="微软雅黑" w:eastAsia="仿宋_GB2312" w:cs="仿宋_GB2312"/>
          <w:b w:val="0"/>
          <w:i w:val="0"/>
          <w:caps w:val="0"/>
          <w:color w:val="000000"/>
          <w:spacing w:val="0"/>
          <w:kern w:val="0"/>
          <w:sz w:val="28"/>
          <w:szCs w:val="28"/>
          <w:lang w:val="en-US" w:eastAsia="zh-CN" w:bidi="ar"/>
        </w:rPr>
        <w:t>）申请材料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学生在新学年开学后通过学校向银行提出贷款申请。需要提供以下材料：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国家助学贷款申请书；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本人学生证和居民身份证复印件（未成年人提供法定监护人的有效身份证明和书面同意申请贷款的证明）；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本人对家庭经济困难情况的说明；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学生家庭所在地有关部门出具的家庭经济困难证明。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）申请金额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FF0000"/>
          <w:spacing w:val="0"/>
          <w:kern w:val="0"/>
          <w:sz w:val="28"/>
          <w:szCs w:val="28"/>
          <w:lang w:val="en-US" w:eastAsia="zh-CN" w:bidi="ar"/>
        </w:rPr>
        <w:t>按学费、住宿费实际金额总和确定，</w:t>
      </w:r>
      <w:r>
        <w:rPr>
          <w:rFonts w:hint="eastAsia" w:ascii="仿宋_GB2312" w:hAnsi="微软雅黑" w:eastAsia="仿宋_GB2312" w:cs="仿宋_GB2312"/>
          <w:b w:val="0"/>
          <w:i w:val="0"/>
          <w:caps w:val="0"/>
          <w:color w:val="000000"/>
          <w:spacing w:val="0"/>
          <w:kern w:val="0"/>
          <w:sz w:val="28"/>
          <w:szCs w:val="28"/>
          <w:lang w:val="en-US" w:eastAsia="zh-CN" w:bidi="ar"/>
        </w:rPr>
        <w:t>本专科生每人每学年最高不超过</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元，研究生每人每学年最高不超过</w:t>
      </w:r>
      <w:r>
        <w:rPr>
          <w:rFonts w:hint="eastAsia" w:ascii="微软雅黑" w:hAnsi="微软雅黑" w:eastAsia="微软雅黑" w:cs="微软雅黑"/>
          <w:b w:val="0"/>
          <w:i w:val="0"/>
          <w:caps w:val="0"/>
          <w:color w:val="000000"/>
          <w:spacing w:val="0"/>
          <w:kern w:val="0"/>
          <w:sz w:val="28"/>
          <w:szCs w:val="28"/>
          <w:lang w:val="en-US" w:eastAsia="zh-CN" w:bidi="ar"/>
        </w:rPr>
        <w:t>12000</w:t>
      </w:r>
      <w:r>
        <w:rPr>
          <w:rFonts w:hint="eastAsia" w:ascii="仿宋_GB2312" w:hAnsi="微软雅黑" w:eastAsia="仿宋_GB2312" w:cs="仿宋_GB2312"/>
          <w:b w:val="0"/>
          <w:i w:val="0"/>
          <w:caps w:val="0"/>
          <w:color w:val="00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4</w:t>
      </w:r>
      <w:r>
        <w:rPr>
          <w:rFonts w:hint="eastAsia" w:ascii="仿宋_GB2312" w:hAnsi="微软雅黑" w:eastAsia="仿宋_GB2312" w:cs="仿宋_GB2312"/>
          <w:b w:val="0"/>
          <w:i w:val="0"/>
          <w:caps w:val="0"/>
          <w:color w:val="000000"/>
          <w:spacing w:val="0"/>
          <w:kern w:val="0"/>
          <w:sz w:val="28"/>
          <w:szCs w:val="28"/>
          <w:lang w:val="en-US" w:eastAsia="zh-CN" w:bidi="ar"/>
        </w:rPr>
        <w:t>）贷款审批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学校学生资助等部门负责对学生提交的国家助学贷款申请进行资格审查，并核查学生提交材料的真实性和完整性；银行负责最终审批学生的贷款申请。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5</w:t>
      </w:r>
      <w:r>
        <w:rPr>
          <w:rFonts w:hint="eastAsia" w:ascii="仿宋_GB2312" w:hAnsi="微软雅黑" w:eastAsia="仿宋_GB2312" w:cs="仿宋_GB2312"/>
          <w:b w:val="0"/>
          <w:i w:val="0"/>
          <w:caps w:val="0"/>
          <w:color w:val="000000"/>
          <w:spacing w:val="0"/>
          <w:kern w:val="0"/>
          <w:sz w:val="28"/>
          <w:szCs w:val="28"/>
          <w:lang w:val="en-US" w:eastAsia="zh-CN" w:bidi="ar"/>
        </w:rPr>
        <w:t>）贷款发放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国家助学贷款实行每学年秋季学期一次申请、一次授信、一次发放的方式。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6</w:t>
      </w:r>
      <w:r>
        <w:rPr>
          <w:rFonts w:hint="eastAsia" w:ascii="仿宋_GB2312" w:hAnsi="微软雅黑" w:eastAsia="仿宋_GB2312" w:cs="仿宋_GB2312"/>
          <w:b w:val="0"/>
          <w:i w:val="0"/>
          <w:caps w:val="0"/>
          <w:color w:val="000000"/>
          <w:spacing w:val="0"/>
          <w:kern w:val="0"/>
          <w:sz w:val="28"/>
          <w:szCs w:val="28"/>
          <w:lang w:val="en-US" w:eastAsia="zh-CN" w:bidi="ar"/>
        </w:rPr>
        <w:t>）贷款利息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国家助学贷款利率执行中国人民银行同期公布的同档次基准利率。贷款学生在校学习期间的国家助学贷款利息全部由财政补贴，毕业后的利息由贷款学生本人全额支付。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7</w:t>
      </w:r>
      <w:r>
        <w:rPr>
          <w:rFonts w:hint="eastAsia" w:ascii="仿宋_GB2312" w:hAnsi="微软雅黑" w:eastAsia="仿宋_GB2312" w:cs="仿宋_GB2312"/>
          <w:b w:val="0"/>
          <w:i w:val="0"/>
          <w:caps w:val="0"/>
          <w:color w:val="000000"/>
          <w:spacing w:val="0"/>
          <w:kern w:val="0"/>
          <w:sz w:val="28"/>
          <w:szCs w:val="28"/>
          <w:lang w:val="en-US" w:eastAsia="zh-CN" w:bidi="ar"/>
        </w:rPr>
        <w:t>）还款期限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国家助学贷款实行到期贷款一次性还清原则。校园地国家助学贷款的还款期限原则上按全日制本专科（含高职）、研究生</w:t>
      </w:r>
      <w:r>
        <w:rPr>
          <w:rFonts w:hint="eastAsia" w:ascii="仿宋_GB2312" w:hAnsi="微软雅黑" w:eastAsia="仿宋_GB2312" w:cs="仿宋_GB2312"/>
          <w:b w:val="0"/>
          <w:i w:val="0"/>
          <w:caps w:val="0"/>
          <w:color w:val="FF0000"/>
          <w:spacing w:val="0"/>
          <w:kern w:val="0"/>
          <w:sz w:val="28"/>
          <w:szCs w:val="28"/>
          <w:lang w:val="en-US" w:eastAsia="zh-CN" w:bidi="ar"/>
        </w:rPr>
        <w:t>剩余</w:t>
      </w:r>
      <w:r>
        <w:rPr>
          <w:rFonts w:hint="eastAsia" w:ascii="仿宋_GB2312" w:hAnsi="微软雅黑" w:eastAsia="仿宋_GB2312" w:cs="仿宋_GB2312"/>
          <w:b w:val="0"/>
          <w:i w:val="0"/>
          <w:caps w:val="0"/>
          <w:color w:val="000000"/>
          <w:spacing w:val="0"/>
          <w:kern w:val="0"/>
          <w:sz w:val="28"/>
          <w:szCs w:val="28"/>
          <w:lang w:val="en-US" w:eastAsia="zh-CN" w:bidi="ar"/>
        </w:rPr>
        <w:t>学制加</w:t>
      </w:r>
      <w:r>
        <w:rPr>
          <w:rFonts w:hint="eastAsia" w:ascii="微软雅黑" w:hAnsi="微软雅黑" w:eastAsia="微软雅黑" w:cs="微软雅黑"/>
          <w:b w:val="0"/>
          <w:i w:val="0"/>
          <w:caps w:val="0"/>
          <w:color w:val="000000"/>
          <w:spacing w:val="0"/>
          <w:kern w:val="0"/>
          <w:sz w:val="28"/>
          <w:szCs w:val="28"/>
          <w:lang w:val="en-US" w:eastAsia="zh-CN" w:bidi="ar"/>
        </w:rPr>
        <w:t>13</w:t>
      </w:r>
      <w:r>
        <w:rPr>
          <w:rFonts w:hint="eastAsia" w:ascii="仿宋_GB2312" w:hAnsi="微软雅黑" w:eastAsia="仿宋_GB2312" w:cs="仿宋_GB2312"/>
          <w:b w:val="0"/>
          <w:i w:val="0"/>
          <w:caps w:val="0"/>
          <w:color w:val="000000"/>
          <w:spacing w:val="0"/>
          <w:kern w:val="0"/>
          <w:sz w:val="28"/>
          <w:szCs w:val="28"/>
          <w:lang w:val="en-US" w:eastAsia="zh-CN" w:bidi="ar"/>
        </w:rPr>
        <w:t>年确定，最长不超过</w:t>
      </w:r>
      <w:r>
        <w:rPr>
          <w:rFonts w:hint="eastAsia" w:ascii="微软雅黑" w:hAnsi="微软雅黑" w:eastAsia="微软雅黑" w:cs="微软雅黑"/>
          <w:b w:val="0"/>
          <w:i w:val="0"/>
          <w:caps w:val="0"/>
          <w:color w:val="000000"/>
          <w:spacing w:val="0"/>
          <w:kern w:val="0"/>
          <w:sz w:val="28"/>
          <w:szCs w:val="28"/>
          <w:lang w:val="en-US" w:eastAsia="zh-CN" w:bidi="ar"/>
        </w:rPr>
        <w:t>20</w:t>
      </w:r>
      <w:r>
        <w:rPr>
          <w:rFonts w:hint="eastAsia" w:ascii="仿宋_GB2312" w:hAnsi="微软雅黑" w:eastAsia="仿宋_GB2312" w:cs="仿宋_GB2312"/>
          <w:b w:val="0"/>
          <w:i w:val="0"/>
          <w:caps w:val="0"/>
          <w:color w:val="000000"/>
          <w:spacing w:val="0"/>
          <w:kern w:val="0"/>
          <w:sz w:val="28"/>
          <w:szCs w:val="28"/>
          <w:lang w:val="en-US" w:eastAsia="zh-CN" w:bidi="ar"/>
        </w:rPr>
        <w:t>年。贷款具体到期日期一律为到期年份的</w:t>
      </w:r>
      <w:r>
        <w:rPr>
          <w:rFonts w:hint="eastAsia" w:ascii="微软雅黑" w:hAnsi="微软雅黑" w:eastAsia="微软雅黑" w:cs="微软雅黑"/>
          <w:b w:val="0"/>
          <w:i w:val="0"/>
          <w:caps w:val="0"/>
          <w:color w:val="000000"/>
          <w:spacing w:val="0"/>
          <w:kern w:val="0"/>
          <w:sz w:val="28"/>
          <w:szCs w:val="28"/>
          <w:lang w:val="en-US" w:eastAsia="zh-CN" w:bidi="ar"/>
        </w:rPr>
        <w:t>9</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20</w:t>
      </w:r>
      <w:r>
        <w:rPr>
          <w:rFonts w:hint="eastAsia" w:ascii="仿宋_GB2312" w:hAnsi="微软雅黑" w:eastAsia="仿宋_GB2312" w:cs="仿宋_GB2312"/>
          <w:b w:val="0"/>
          <w:i w:val="0"/>
          <w:caps w:val="0"/>
          <w:color w:val="000000"/>
          <w:spacing w:val="0"/>
          <w:kern w:val="0"/>
          <w:sz w:val="28"/>
          <w:szCs w:val="28"/>
          <w:lang w:val="en-US" w:eastAsia="zh-CN" w:bidi="ar"/>
        </w:rPr>
        <w:t>日。学生根据个人毕业后的就业和收入情况，在毕业</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年后开始偿还本金，在合同到期前还清贷款本息。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8</w:t>
      </w:r>
      <w:r>
        <w:rPr>
          <w:rFonts w:hint="eastAsia" w:ascii="仿宋_GB2312" w:hAnsi="微软雅黑" w:eastAsia="仿宋_GB2312" w:cs="仿宋_GB2312"/>
          <w:b w:val="0"/>
          <w:i w:val="0"/>
          <w:caps w:val="0"/>
          <w:color w:val="000000"/>
          <w:spacing w:val="0"/>
          <w:kern w:val="0"/>
          <w:sz w:val="28"/>
          <w:szCs w:val="28"/>
          <w:lang w:val="en-US" w:eastAsia="zh-CN" w:bidi="ar"/>
        </w:rPr>
        <w:t>）违约后果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国家助学贷款的借款学生如未按照与经办银行签订的还款协议约定的期限、数额偿还贷款，经办银行将对其违约还款金额计收罚息；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经办银行将违约情况录入中国人民银行的金融信用信息基础数据库，供全国各金融机构依法查询。对恶意拖欠贷款的违约借款人采取限制措施，不予提供住房贷款、汽车贷款等金融服务；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对于连续拖欠还款行为严重的借款人，有关行政管理部门和银行将通过新闻媒体和网络等信息渠道公布其姓名、公民身份号码、毕业学校及具体违约行为等信息；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严重违约的贷款人还将承担相关法律责任。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．生源地信用助学贷款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已被普通高校、科研院所、党校、行政学院、会计学院等培养单位正式录取的河南籍家庭经济困难的全日制普通本专科生（含第二学士学位学生）、研究生和预科生，通过户籍所在县（市、区）的学生资助管理机构申请办理的国家助学贷款。学生和家长为共同借款人，共同承担还款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1</w:t>
      </w:r>
      <w:r>
        <w:rPr>
          <w:rFonts w:hint="eastAsia" w:ascii="仿宋_GB2312" w:hAnsi="微软雅黑" w:eastAsia="仿宋_GB2312" w:cs="仿宋_GB2312"/>
          <w:b w:val="0"/>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申请国家开发银行生源地信用助学贷款的学生必须同时符合以下条件：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诚实守信，遵纪守法；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③被根据国家有关规定批准设立、实施高等学历教育的全日制普通本科高校、高等职业学校和高等专科学校（含民办高校和独立学院，学校名单以教育部公布的为准）正式录取，取得真实、合法、有效的录取通知书的上述高校新生或在校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④学生本人入学前户籍、其共同借款人户籍均在本县（市、区）；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⑤经村（居）委会、乡镇（街道办事处）民政任一部门认定，家庭所能获得的收入不足以支付学生在校期间完成学业所需的基本费用。对于建档立卡贫困户、农村特困户和低保户；孤儿及残疾人家庭；遭受自然灾害，造成重大损失，无力负担学生费用；家庭主要成员患有重大疾病；家庭主要收入创造者因故丧失劳动能力；无稳定收入的单亲家庭；老、少、边、穷及偏远农村经济困难家庭；父母双方或一方失业家庭的学生予以优先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⑥当年没有获得其他助学贷款。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共同借款人需符合以下条件：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right="0" w:firstLine="560" w:firstLineChars="20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原则上应为借款学生父母；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②如借款学生父母由于残疾、患病等特殊情况丧失劳动能力或民事行为能力的，可由借款学生其他近亲属作为共同借款人；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③如借款学生为孤儿，共同借款人则为其他法定监护人，或是自愿与借款学生共同承担还款责任的具备完全民事行为能力的自然人；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④共同借款人户籍与学生本人入学前户籍均在本县（市、区）；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⑤如共同借款人不是借款学生父母时，其年龄原则上在</w:t>
      </w:r>
      <w:r>
        <w:rPr>
          <w:rFonts w:hint="eastAsia" w:ascii="微软雅黑" w:hAnsi="微软雅黑" w:eastAsia="微软雅黑" w:cs="微软雅黑"/>
          <w:b w:val="0"/>
          <w:i w:val="0"/>
          <w:caps w:val="0"/>
          <w:color w:val="000000"/>
          <w:spacing w:val="0"/>
          <w:kern w:val="0"/>
          <w:sz w:val="28"/>
          <w:szCs w:val="28"/>
          <w:lang w:val="en-US" w:eastAsia="zh-CN" w:bidi="ar"/>
        </w:rPr>
        <w:t>25</w:t>
      </w:r>
      <w:r>
        <w:rPr>
          <w:rFonts w:hint="eastAsia" w:ascii="仿宋_GB2312" w:hAnsi="微软雅黑" w:eastAsia="仿宋_GB2312" w:cs="仿宋_GB2312"/>
          <w:b w:val="0"/>
          <w:i w:val="0"/>
          <w:caps w:val="0"/>
          <w:color w:val="000000"/>
          <w:spacing w:val="0"/>
          <w:kern w:val="0"/>
          <w:sz w:val="28"/>
          <w:szCs w:val="28"/>
          <w:lang w:val="en-US" w:eastAsia="zh-CN" w:bidi="ar"/>
        </w:rPr>
        <w:t>周岁（含）以上，</w:t>
      </w:r>
      <w:r>
        <w:rPr>
          <w:rFonts w:hint="eastAsia" w:ascii="微软雅黑" w:hAnsi="微软雅黑" w:eastAsia="微软雅黑" w:cs="微软雅黑"/>
          <w:b w:val="0"/>
          <w:i w:val="0"/>
          <w:caps w:val="0"/>
          <w:color w:val="000000"/>
          <w:spacing w:val="0"/>
          <w:kern w:val="0"/>
          <w:sz w:val="28"/>
          <w:szCs w:val="28"/>
          <w:lang w:val="en-US" w:eastAsia="zh-CN" w:bidi="ar"/>
        </w:rPr>
        <w:t>60</w:t>
      </w:r>
      <w:r>
        <w:rPr>
          <w:rFonts w:hint="eastAsia" w:ascii="仿宋_GB2312" w:hAnsi="微软雅黑" w:eastAsia="仿宋_GB2312" w:cs="仿宋_GB2312"/>
          <w:b w:val="0"/>
          <w:i w:val="0"/>
          <w:caps w:val="0"/>
          <w:color w:val="000000"/>
          <w:spacing w:val="0"/>
          <w:kern w:val="0"/>
          <w:sz w:val="28"/>
          <w:szCs w:val="28"/>
          <w:lang w:val="en-US" w:eastAsia="zh-CN" w:bidi="ar"/>
        </w:rPr>
        <w:t>周岁（含）以下；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⑥未结清开发银行生源地信用助学贷款（或高校助学贷款）的借款学生不能作为其他借款学生的共同借款人。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2</w:t>
      </w:r>
      <w:r>
        <w:rPr>
          <w:rFonts w:hint="eastAsia" w:ascii="仿宋_GB2312" w:hAnsi="微软雅黑" w:eastAsia="仿宋_GB2312" w:cs="仿宋_GB2312"/>
          <w:b w:val="0"/>
          <w:i w:val="0"/>
          <w:caps w:val="0"/>
          <w:color w:val="000000"/>
          <w:spacing w:val="0"/>
          <w:kern w:val="0"/>
          <w:sz w:val="28"/>
          <w:szCs w:val="28"/>
          <w:lang w:val="en-US" w:eastAsia="zh-CN" w:bidi="ar"/>
        </w:rPr>
        <w:t>）办理程序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生源地信用助学贷款按年度申请、审批和发放。学生在新学期开始前，向户籍所在县（市、区）的学生资助管理中心提出贷款申请。县级学生资助管理中心负责对学生提交的申请进行资格初审。金融机构负责最终审批并发放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）贷款金额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FF0000"/>
          <w:spacing w:val="0"/>
          <w:kern w:val="0"/>
          <w:sz w:val="28"/>
          <w:szCs w:val="28"/>
          <w:lang w:val="en-US" w:eastAsia="zh-CN" w:bidi="ar"/>
        </w:rPr>
        <w:t>按学费、住宿费实际金额总和确定，本专科生每生每学年最高不超过</w:t>
      </w:r>
      <w:r>
        <w:rPr>
          <w:rFonts w:hint="eastAsia" w:ascii="微软雅黑" w:hAnsi="微软雅黑" w:eastAsia="微软雅黑" w:cs="微软雅黑"/>
          <w:b w:val="0"/>
          <w:i w:val="0"/>
          <w:caps w:val="0"/>
          <w:color w:val="FF0000"/>
          <w:spacing w:val="0"/>
          <w:kern w:val="0"/>
          <w:sz w:val="28"/>
          <w:szCs w:val="28"/>
          <w:lang w:val="en-US" w:eastAsia="zh-CN" w:bidi="ar"/>
        </w:rPr>
        <w:t>8000</w:t>
      </w:r>
      <w:r>
        <w:rPr>
          <w:rFonts w:hint="eastAsia" w:ascii="仿宋_GB2312" w:hAnsi="微软雅黑" w:eastAsia="仿宋_GB2312" w:cs="仿宋_GB2312"/>
          <w:b w:val="0"/>
          <w:i w:val="0"/>
          <w:caps w:val="0"/>
          <w:color w:val="FF0000"/>
          <w:spacing w:val="0"/>
          <w:kern w:val="0"/>
          <w:sz w:val="28"/>
          <w:szCs w:val="28"/>
          <w:lang w:val="en-US" w:eastAsia="zh-CN" w:bidi="ar"/>
        </w:rPr>
        <w:t>元，研究生每生每年最高不超过</w:t>
      </w:r>
      <w:r>
        <w:rPr>
          <w:rFonts w:hint="eastAsia" w:ascii="微软雅黑" w:hAnsi="微软雅黑" w:eastAsia="微软雅黑" w:cs="微软雅黑"/>
          <w:b w:val="0"/>
          <w:i w:val="0"/>
          <w:caps w:val="0"/>
          <w:color w:val="FF0000"/>
          <w:spacing w:val="0"/>
          <w:kern w:val="0"/>
          <w:sz w:val="28"/>
          <w:szCs w:val="28"/>
          <w:lang w:val="en-US" w:eastAsia="zh-CN" w:bidi="ar"/>
        </w:rPr>
        <w:t>12000</w:t>
      </w:r>
      <w:r>
        <w:rPr>
          <w:rFonts w:hint="eastAsia" w:ascii="仿宋_GB2312" w:hAnsi="微软雅黑" w:eastAsia="仿宋_GB2312" w:cs="仿宋_GB2312"/>
          <w:b w:val="0"/>
          <w:i w:val="0"/>
          <w:caps w:val="0"/>
          <w:color w:val="FF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4</w:t>
      </w:r>
      <w:r>
        <w:rPr>
          <w:rFonts w:hint="eastAsia" w:ascii="仿宋_GB2312" w:hAnsi="微软雅黑" w:eastAsia="仿宋_GB2312" w:cs="仿宋_GB2312"/>
          <w:b w:val="0"/>
          <w:i w:val="0"/>
          <w:caps w:val="0"/>
          <w:color w:val="000000"/>
          <w:spacing w:val="0"/>
          <w:kern w:val="0"/>
          <w:sz w:val="28"/>
          <w:szCs w:val="28"/>
          <w:lang w:val="en-US" w:eastAsia="zh-CN" w:bidi="ar"/>
        </w:rPr>
        <w:t>）贷款利息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生源地信用助学贷款利率执行中国人民银行同期公布的同档次基准利率，不上浮。学生在校期间的利息由财政全部补贴，毕业后的利息由学生和家长（或其他法定监护人）共同负担。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5</w:t>
      </w:r>
      <w:r>
        <w:rPr>
          <w:rFonts w:hint="eastAsia" w:ascii="仿宋_GB2312" w:hAnsi="微软雅黑" w:eastAsia="仿宋_GB2312" w:cs="仿宋_GB2312"/>
          <w:b w:val="0"/>
          <w:i w:val="0"/>
          <w:caps w:val="0"/>
          <w:color w:val="000000"/>
          <w:spacing w:val="0"/>
          <w:kern w:val="0"/>
          <w:sz w:val="28"/>
          <w:szCs w:val="28"/>
          <w:lang w:val="en-US" w:eastAsia="zh-CN" w:bidi="ar"/>
        </w:rPr>
        <w:t>）还款期限和还款方式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生源地信用助学贷款期限原则上按全日制本专科、研究生</w:t>
      </w:r>
      <w:r>
        <w:rPr>
          <w:rFonts w:hint="eastAsia" w:ascii="仿宋_GB2312" w:hAnsi="微软雅黑" w:eastAsia="仿宋_GB2312" w:cs="仿宋_GB2312"/>
          <w:b w:val="0"/>
          <w:i w:val="0"/>
          <w:caps w:val="0"/>
          <w:color w:val="FF0000"/>
          <w:spacing w:val="0"/>
          <w:kern w:val="0"/>
          <w:sz w:val="28"/>
          <w:szCs w:val="28"/>
          <w:lang w:val="en-US" w:eastAsia="zh-CN" w:bidi="ar"/>
        </w:rPr>
        <w:t>剩余</w:t>
      </w:r>
      <w:r>
        <w:rPr>
          <w:rFonts w:hint="eastAsia" w:ascii="仿宋_GB2312" w:hAnsi="微软雅黑" w:eastAsia="仿宋_GB2312" w:cs="仿宋_GB2312"/>
          <w:b w:val="0"/>
          <w:i w:val="0"/>
          <w:caps w:val="0"/>
          <w:color w:val="000000"/>
          <w:spacing w:val="0"/>
          <w:kern w:val="0"/>
          <w:sz w:val="28"/>
          <w:szCs w:val="28"/>
          <w:lang w:val="en-US" w:eastAsia="zh-CN" w:bidi="ar"/>
        </w:rPr>
        <w:t>学制加</w:t>
      </w:r>
      <w:r>
        <w:rPr>
          <w:rFonts w:hint="eastAsia" w:ascii="微软雅黑" w:hAnsi="微软雅黑" w:eastAsia="微软雅黑" w:cs="微软雅黑"/>
          <w:b w:val="0"/>
          <w:i w:val="0"/>
          <w:caps w:val="0"/>
          <w:color w:val="000000"/>
          <w:spacing w:val="0"/>
          <w:kern w:val="0"/>
          <w:sz w:val="28"/>
          <w:szCs w:val="28"/>
          <w:lang w:val="en-US" w:eastAsia="zh-CN" w:bidi="ar"/>
        </w:rPr>
        <w:t>13</w:t>
      </w:r>
      <w:r>
        <w:rPr>
          <w:rFonts w:hint="eastAsia" w:ascii="仿宋_GB2312" w:hAnsi="微软雅黑" w:eastAsia="仿宋_GB2312" w:cs="仿宋_GB2312"/>
          <w:b w:val="0"/>
          <w:i w:val="0"/>
          <w:caps w:val="0"/>
          <w:color w:val="000000"/>
          <w:spacing w:val="0"/>
          <w:kern w:val="0"/>
          <w:sz w:val="28"/>
          <w:szCs w:val="28"/>
          <w:lang w:val="en-US" w:eastAsia="zh-CN" w:bidi="ar"/>
        </w:rPr>
        <w:t>年确定，最长不超过</w:t>
      </w:r>
      <w:r>
        <w:rPr>
          <w:rFonts w:hint="eastAsia" w:ascii="微软雅黑" w:hAnsi="微软雅黑" w:eastAsia="微软雅黑" w:cs="微软雅黑"/>
          <w:b w:val="0"/>
          <w:i w:val="0"/>
          <w:caps w:val="0"/>
          <w:color w:val="000000"/>
          <w:spacing w:val="0"/>
          <w:kern w:val="0"/>
          <w:sz w:val="28"/>
          <w:szCs w:val="28"/>
          <w:lang w:val="en-US" w:eastAsia="zh-CN" w:bidi="ar"/>
        </w:rPr>
        <w:t>20</w:t>
      </w:r>
      <w:r>
        <w:rPr>
          <w:rFonts w:hint="eastAsia" w:ascii="仿宋_GB2312" w:hAnsi="微软雅黑" w:eastAsia="仿宋_GB2312" w:cs="仿宋_GB2312"/>
          <w:b w:val="0"/>
          <w:i w:val="0"/>
          <w:caps w:val="0"/>
          <w:color w:val="000000"/>
          <w:spacing w:val="0"/>
          <w:kern w:val="0"/>
          <w:sz w:val="28"/>
          <w:szCs w:val="28"/>
          <w:lang w:val="en-US" w:eastAsia="zh-CN" w:bidi="ar"/>
        </w:rPr>
        <w:t>年。其中，在校生按剩余学习年限加</w:t>
      </w:r>
      <w:r>
        <w:rPr>
          <w:rFonts w:hint="eastAsia" w:ascii="微软雅黑" w:hAnsi="微软雅黑" w:eastAsia="微软雅黑" w:cs="微软雅黑"/>
          <w:b w:val="0"/>
          <w:i w:val="0"/>
          <w:caps w:val="0"/>
          <w:color w:val="000000"/>
          <w:spacing w:val="0"/>
          <w:kern w:val="0"/>
          <w:sz w:val="28"/>
          <w:szCs w:val="28"/>
          <w:lang w:val="en-US" w:eastAsia="zh-CN" w:bidi="ar"/>
        </w:rPr>
        <w:t>13</w:t>
      </w:r>
      <w:r>
        <w:rPr>
          <w:rFonts w:hint="eastAsia" w:ascii="仿宋_GB2312" w:hAnsi="微软雅黑" w:eastAsia="仿宋_GB2312" w:cs="仿宋_GB2312"/>
          <w:b w:val="0"/>
          <w:i w:val="0"/>
          <w:caps w:val="0"/>
          <w:color w:val="000000"/>
          <w:spacing w:val="0"/>
          <w:kern w:val="0"/>
          <w:sz w:val="28"/>
          <w:szCs w:val="28"/>
          <w:lang w:val="en-US" w:eastAsia="zh-CN" w:bidi="ar"/>
        </w:rPr>
        <w:t>年确定。学制超过</w:t>
      </w:r>
      <w:r>
        <w:rPr>
          <w:rFonts w:hint="eastAsia" w:ascii="微软雅黑" w:hAnsi="微软雅黑" w:eastAsia="微软雅黑" w:cs="微软雅黑"/>
          <w:b w:val="0"/>
          <w:i w:val="0"/>
          <w:caps w:val="0"/>
          <w:color w:val="000000"/>
          <w:spacing w:val="0"/>
          <w:kern w:val="0"/>
          <w:sz w:val="28"/>
          <w:szCs w:val="28"/>
          <w:lang w:val="en-US" w:eastAsia="zh-CN" w:bidi="ar"/>
        </w:rPr>
        <w:t>4</w:t>
      </w:r>
      <w:r>
        <w:rPr>
          <w:rFonts w:hint="eastAsia" w:ascii="仿宋_GB2312" w:hAnsi="微软雅黑" w:eastAsia="仿宋_GB2312" w:cs="仿宋_GB2312"/>
          <w:b w:val="0"/>
          <w:i w:val="0"/>
          <w:caps w:val="0"/>
          <w:color w:val="000000"/>
          <w:spacing w:val="0"/>
          <w:kern w:val="0"/>
          <w:sz w:val="28"/>
          <w:szCs w:val="28"/>
          <w:lang w:val="en-US" w:eastAsia="zh-CN" w:bidi="ar"/>
        </w:rPr>
        <w:t>年或继续攻读研究生学位、第二学士学位的，相应缩短学生毕业后的还贷期限。学生在校及毕业后三年间为还本宽限期，还本宽限期内，借款人只需要偿还贷款利息，无需偿还贷款本金，还本宽限期后借款人按年度分期偿还贷款本金和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（六）本专科生国家助学金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金是为了体现党和政府对普通本科高校、高等职业学校和高等专科学校家庭经济困难学生的关怀，由中央与地方政府共同出资设立的，用于资助家庭经济困难的全日制普通本专科（含高职、第二学士学位）在校学生的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全国平均每人每年</w:t>
      </w:r>
      <w:r>
        <w:rPr>
          <w:rFonts w:hint="eastAsia" w:ascii="微软雅黑" w:hAnsi="微软雅黑" w:eastAsia="微软雅黑" w:cs="微软雅黑"/>
          <w:b w:val="0"/>
          <w:i w:val="0"/>
          <w:caps w:val="0"/>
          <w:color w:val="000000"/>
          <w:spacing w:val="0"/>
          <w:kern w:val="0"/>
          <w:sz w:val="28"/>
          <w:szCs w:val="28"/>
          <w:lang w:val="en-US" w:eastAsia="zh-CN" w:bidi="ar"/>
        </w:rPr>
        <w:t>3000</w:t>
      </w:r>
      <w:r>
        <w:rPr>
          <w:rFonts w:hint="eastAsia" w:ascii="仿宋_GB2312" w:hAnsi="微软雅黑" w:eastAsia="仿宋_GB2312" w:cs="仿宋_GB2312"/>
          <w:b w:val="0"/>
          <w:i w:val="0"/>
          <w:caps w:val="0"/>
          <w:color w:val="000000"/>
          <w:spacing w:val="0"/>
          <w:kern w:val="0"/>
          <w:sz w:val="28"/>
          <w:szCs w:val="28"/>
          <w:lang w:val="en-US" w:eastAsia="zh-CN" w:bidi="ar"/>
        </w:rPr>
        <w:t>元。具体标准，中央高校由财政部商有关部门确定，地方高校由各省（自治区、直辖市）确定。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对在我省就读的建档立卡贫困家庭普通本专科学生，按照每生每年</w:t>
      </w:r>
      <w:r>
        <w:rPr>
          <w:rFonts w:hint="eastAsia" w:ascii="微软雅黑" w:hAnsi="微软雅黑" w:eastAsia="微软雅黑" w:cs="微软雅黑"/>
          <w:b w:val="0"/>
          <w:i w:val="0"/>
          <w:caps w:val="0"/>
          <w:color w:val="000000"/>
          <w:spacing w:val="0"/>
          <w:kern w:val="0"/>
          <w:sz w:val="28"/>
          <w:szCs w:val="28"/>
          <w:lang w:val="en-US" w:eastAsia="zh-CN" w:bidi="ar"/>
        </w:rPr>
        <w:t>4000</w:t>
      </w:r>
      <w:r>
        <w:rPr>
          <w:rFonts w:hint="eastAsia" w:ascii="仿宋_GB2312" w:hAnsi="微软雅黑" w:eastAsia="仿宋_GB2312" w:cs="仿宋_GB2312"/>
          <w:b w:val="0"/>
          <w:i w:val="0"/>
          <w:caps w:val="0"/>
          <w:color w:val="000000"/>
          <w:spacing w:val="0"/>
          <w:kern w:val="0"/>
          <w:sz w:val="28"/>
          <w:szCs w:val="28"/>
          <w:lang w:val="en-US" w:eastAsia="zh-CN" w:bidi="ar"/>
        </w:rPr>
        <w:t>元的标准发放国家助学金。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勤奋学习，积极上进；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⑤</w:t>
      </w:r>
      <w:r>
        <w:rPr>
          <w:rFonts w:hint="eastAsia" w:ascii="仿宋_GB2312" w:hAnsi="微软雅黑" w:eastAsia="仿宋_GB2312" w:cs="仿宋_GB2312"/>
          <w:b w:val="0"/>
          <w:i w:val="0"/>
          <w:caps w:val="0"/>
          <w:color w:val="000000"/>
          <w:spacing w:val="0"/>
          <w:kern w:val="0"/>
          <w:sz w:val="28"/>
          <w:szCs w:val="28"/>
          <w:lang w:val="en-US" w:eastAsia="zh-CN" w:bidi="ar"/>
        </w:rPr>
        <w:t>家庭经济困难，生活俭朴。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．申请、评审和发放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国家助学金每学年评定一次。每年</w:t>
      </w:r>
      <w:r>
        <w:rPr>
          <w:rFonts w:hint="eastAsia" w:ascii="微软雅黑" w:hAnsi="微软雅黑" w:eastAsia="微软雅黑" w:cs="微软雅黑"/>
          <w:b w:val="0"/>
          <w:i w:val="0"/>
          <w:caps w:val="0"/>
          <w:color w:val="000000"/>
          <w:spacing w:val="0"/>
          <w:kern w:val="0"/>
          <w:sz w:val="28"/>
          <w:szCs w:val="28"/>
          <w:lang w:val="en-US" w:eastAsia="zh-CN" w:bidi="ar"/>
        </w:rPr>
        <w:t>9</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30</w:t>
      </w:r>
      <w:r>
        <w:rPr>
          <w:rFonts w:hint="eastAsia" w:ascii="仿宋_GB2312" w:hAnsi="微软雅黑" w:eastAsia="仿宋_GB2312" w:cs="仿宋_GB2312"/>
          <w:b w:val="0"/>
          <w:i w:val="0"/>
          <w:caps w:val="0"/>
          <w:color w:val="000000"/>
          <w:spacing w:val="0"/>
          <w:kern w:val="0"/>
          <w:sz w:val="28"/>
          <w:szCs w:val="28"/>
          <w:lang w:val="en-US" w:eastAsia="zh-CN" w:bidi="ar"/>
        </w:rPr>
        <w:t>日前，学生向学校提出申请，各高校于当年</w:t>
      </w:r>
      <w:r>
        <w:rPr>
          <w:rFonts w:hint="eastAsia" w:ascii="微软雅黑" w:hAnsi="微软雅黑" w:eastAsia="微软雅黑" w:cs="微软雅黑"/>
          <w:b w:val="0"/>
          <w:i w:val="0"/>
          <w:caps w:val="0"/>
          <w:color w:val="000000"/>
          <w:spacing w:val="0"/>
          <w:kern w:val="0"/>
          <w:sz w:val="28"/>
          <w:szCs w:val="28"/>
          <w:lang w:val="en-US" w:eastAsia="zh-CN" w:bidi="ar"/>
        </w:rPr>
        <w:t>11</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15</w:t>
      </w:r>
      <w:r>
        <w:rPr>
          <w:rFonts w:hint="eastAsia" w:ascii="仿宋_GB2312" w:hAnsi="微软雅黑" w:eastAsia="仿宋_GB2312" w:cs="仿宋_GB2312"/>
          <w:b w:val="0"/>
          <w:i w:val="0"/>
          <w:caps w:val="0"/>
          <w:color w:val="000000"/>
          <w:spacing w:val="0"/>
          <w:kern w:val="0"/>
          <w:sz w:val="28"/>
          <w:szCs w:val="28"/>
          <w:lang w:val="en-US" w:eastAsia="zh-CN" w:bidi="ar"/>
        </w:rPr>
        <w:t>日前完成评审，按月将国家助学金发放到受助学生手中。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4</w:t>
      </w:r>
      <w:r>
        <w:rPr>
          <w:rFonts w:hint="eastAsia" w:ascii="仿宋_GB2312" w:hAnsi="微软雅黑" w:eastAsia="仿宋_GB2312" w:cs="仿宋_GB2312"/>
          <w:b/>
          <w:i w:val="0"/>
          <w:caps w:val="0"/>
          <w:color w:val="000000"/>
          <w:spacing w:val="0"/>
          <w:kern w:val="0"/>
          <w:sz w:val="28"/>
          <w:szCs w:val="28"/>
          <w:lang w:val="en-US" w:eastAsia="zh-CN" w:bidi="ar"/>
        </w:rPr>
        <w:t>．相关事项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同一学年内，申请并获得国家助学金的学生，可同时申请并获得国家奖学金或国家励志奖学金。试行免费教育的教育部直属师范院校师范类专业学生，不再同时获得国家助学金。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（七）本专科生国家励志奖学金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励志奖学金是为了激励普通本科高校、高等职业学校和高等专科学校的家庭经济困难学生勤奋学习、努力进取，在德、智、体、美等方面全面发展，由中央和地方政府共同出资设立的，奖励资助品学兼优的家庭经济困难学生的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．奖励标准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每人每年</w:t>
      </w:r>
      <w:r>
        <w:rPr>
          <w:rFonts w:hint="eastAsia" w:ascii="微软雅黑" w:hAnsi="微软雅黑" w:eastAsia="微软雅黑" w:cs="微软雅黑"/>
          <w:b w:val="0"/>
          <w:i w:val="0"/>
          <w:caps w:val="0"/>
          <w:color w:val="000000"/>
          <w:spacing w:val="0"/>
          <w:kern w:val="0"/>
          <w:sz w:val="28"/>
          <w:szCs w:val="28"/>
          <w:lang w:val="en-US" w:eastAsia="zh-CN" w:bidi="ar"/>
        </w:rPr>
        <w:t>5000</w:t>
      </w:r>
      <w:r>
        <w:rPr>
          <w:rFonts w:hint="eastAsia" w:ascii="仿宋_GB2312" w:hAnsi="微软雅黑" w:eastAsia="仿宋_GB2312" w:cs="仿宋_GB2312"/>
          <w:b w:val="0"/>
          <w:i w:val="0"/>
          <w:caps w:val="0"/>
          <w:color w:val="00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二年级以上（含二年级）的全日制普通本专科（含高职、第二学士学位）在校生，符合以下条件：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在校期间学习成绩优秀；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⑤</w:t>
      </w:r>
      <w:r>
        <w:rPr>
          <w:rFonts w:hint="eastAsia" w:ascii="仿宋_GB2312" w:hAnsi="微软雅黑" w:eastAsia="仿宋_GB2312" w:cs="仿宋_GB2312"/>
          <w:b w:val="0"/>
          <w:i w:val="0"/>
          <w:caps w:val="0"/>
          <w:color w:val="000000"/>
          <w:spacing w:val="0"/>
          <w:kern w:val="0"/>
          <w:sz w:val="28"/>
          <w:szCs w:val="28"/>
          <w:lang w:val="en-US" w:eastAsia="zh-CN" w:bidi="ar"/>
        </w:rPr>
        <w:t>家庭经济困难，生活俭朴。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．申请、评审和发放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国家励志奖学金每学年评选一次，实行等额评审。每年</w:t>
      </w:r>
      <w:r>
        <w:rPr>
          <w:rFonts w:hint="eastAsia" w:ascii="微软雅黑" w:hAnsi="微软雅黑" w:eastAsia="微软雅黑" w:cs="微软雅黑"/>
          <w:b w:val="0"/>
          <w:i w:val="0"/>
          <w:caps w:val="0"/>
          <w:color w:val="000000"/>
          <w:spacing w:val="0"/>
          <w:kern w:val="0"/>
          <w:sz w:val="28"/>
          <w:szCs w:val="28"/>
          <w:lang w:val="en-US" w:eastAsia="zh-CN" w:bidi="ar"/>
        </w:rPr>
        <w:t>9</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30</w:t>
      </w:r>
      <w:r>
        <w:rPr>
          <w:rFonts w:hint="eastAsia" w:ascii="仿宋_GB2312" w:hAnsi="微软雅黑" w:eastAsia="仿宋_GB2312" w:cs="仿宋_GB2312"/>
          <w:b w:val="0"/>
          <w:i w:val="0"/>
          <w:caps w:val="0"/>
          <w:color w:val="000000"/>
          <w:spacing w:val="0"/>
          <w:kern w:val="0"/>
          <w:sz w:val="28"/>
          <w:szCs w:val="28"/>
          <w:lang w:val="en-US" w:eastAsia="zh-CN" w:bidi="ar"/>
        </w:rPr>
        <w:t>日前，学生向学校提出申请，各高校于当年</w:t>
      </w:r>
      <w:r>
        <w:rPr>
          <w:rFonts w:hint="eastAsia" w:ascii="微软雅黑" w:hAnsi="微软雅黑" w:eastAsia="微软雅黑" w:cs="微软雅黑"/>
          <w:b w:val="0"/>
          <w:i w:val="0"/>
          <w:caps w:val="0"/>
          <w:color w:val="000000"/>
          <w:spacing w:val="0"/>
          <w:kern w:val="0"/>
          <w:sz w:val="28"/>
          <w:szCs w:val="28"/>
          <w:lang w:val="en-US" w:eastAsia="zh-CN" w:bidi="ar"/>
        </w:rPr>
        <w:t>10</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31</w:t>
      </w:r>
      <w:r>
        <w:rPr>
          <w:rFonts w:hint="eastAsia" w:ascii="仿宋_GB2312" w:hAnsi="微软雅黑" w:eastAsia="仿宋_GB2312" w:cs="仿宋_GB2312"/>
          <w:b w:val="0"/>
          <w:i w:val="0"/>
          <w:caps w:val="0"/>
          <w:color w:val="000000"/>
          <w:spacing w:val="0"/>
          <w:kern w:val="0"/>
          <w:sz w:val="28"/>
          <w:szCs w:val="28"/>
          <w:lang w:val="en-US" w:eastAsia="zh-CN" w:bidi="ar"/>
        </w:rPr>
        <w:t>日前完成评审。经省教育厅审批后，高校将国家励志奖学金一次性发放给获奖学生，颁发省教育厅统一印制的奖励证书，并记入学生的学籍档案。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4</w:t>
      </w:r>
      <w:r>
        <w:rPr>
          <w:rFonts w:hint="eastAsia" w:ascii="仿宋_GB2312" w:hAnsi="微软雅黑" w:eastAsia="仿宋_GB2312" w:cs="仿宋_GB2312"/>
          <w:b/>
          <w:i w:val="0"/>
          <w:caps w:val="0"/>
          <w:color w:val="000000"/>
          <w:spacing w:val="0"/>
          <w:kern w:val="0"/>
          <w:sz w:val="28"/>
          <w:szCs w:val="28"/>
          <w:lang w:val="en-US" w:eastAsia="zh-CN" w:bidi="ar"/>
        </w:rPr>
        <w:t>．相关事项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同一学年内，申请国家励志奖学金的学生可以同时申请并获得国家助学金，但不能同时获得国家奖学金。试行免费教育的教育部直属师范院校师范类专业学生不再同时获得国家励志奖学金。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（八）本专科生国家奖学金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国家奖学金是为了激励普通本科高校、高等职业学校和高等专科学校学生勤奋学习、努力进取，在德、智、体、美等方面全面发展，由中央政府出资设立的奖励特别优秀学生的奖学金。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．奖励标准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每人每年</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二年级以上（含二年级）的全日制普通本专科（含高职、第二学士学位）在校生，符合以下条件：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在校期间学习成绩优异，社会实践、创新能力、综合素质等方面特别突出。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．评审和发放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国家奖学金每学年评选一次，实行等额评审。各高校于每学年开学初启动评审工作，当年</w:t>
      </w:r>
      <w:r>
        <w:rPr>
          <w:rFonts w:hint="eastAsia" w:ascii="微软雅黑" w:hAnsi="微软雅黑" w:eastAsia="微软雅黑" w:cs="微软雅黑"/>
          <w:b w:val="0"/>
          <w:i w:val="0"/>
          <w:caps w:val="0"/>
          <w:color w:val="000000"/>
          <w:spacing w:val="0"/>
          <w:kern w:val="0"/>
          <w:sz w:val="28"/>
          <w:szCs w:val="28"/>
          <w:lang w:val="en-US" w:eastAsia="zh-CN" w:bidi="ar"/>
        </w:rPr>
        <w:t>10</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31</w:t>
      </w:r>
      <w:r>
        <w:rPr>
          <w:rFonts w:hint="eastAsia" w:ascii="仿宋_GB2312" w:hAnsi="微软雅黑" w:eastAsia="仿宋_GB2312" w:cs="仿宋_GB2312"/>
          <w:b w:val="0"/>
          <w:i w:val="0"/>
          <w:caps w:val="0"/>
          <w:color w:val="000000"/>
          <w:spacing w:val="0"/>
          <w:kern w:val="0"/>
          <w:sz w:val="28"/>
          <w:szCs w:val="28"/>
          <w:lang w:val="en-US" w:eastAsia="zh-CN" w:bidi="ar"/>
        </w:rPr>
        <w:t>日前完成评审。经省教育厅审核、教育部审批后，高校将国家奖学金一次性发放给获奖学生，颁发国家统一印制的奖励证书，并记入学生的学籍档案。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4</w:t>
      </w:r>
      <w:r>
        <w:rPr>
          <w:rFonts w:hint="eastAsia" w:ascii="仿宋_GB2312" w:hAnsi="微软雅黑" w:eastAsia="仿宋_GB2312" w:cs="仿宋_GB2312"/>
          <w:b/>
          <w:i w:val="0"/>
          <w:caps w:val="0"/>
          <w:color w:val="000000"/>
          <w:spacing w:val="0"/>
          <w:kern w:val="0"/>
          <w:sz w:val="28"/>
          <w:szCs w:val="28"/>
          <w:lang w:val="en-US" w:eastAsia="zh-CN" w:bidi="ar"/>
        </w:rPr>
        <w:t>．相关事项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无论家庭经济是否困难，只要符合规定条件，均可获得国家奖学金。同一学年内，获得国家奖学金的家庭经济困难学生可以同时申请并获得国家助学金，但不能同时获得国家励志奖学金。试行免费教育的教育部直属师范院校师范类专业学生符合规定条件的，可以获得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（九）退役士兵教育资助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从</w:t>
      </w:r>
      <w:r>
        <w:rPr>
          <w:rFonts w:hint="eastAsia" w:ascii="微软雅黑" w:hAnsi="微软雅黑" w:eastAsia="微软雅黑" w:cs="微软雅黑"/>
          <w:b w:val="0"/>
          <w:i w:val="0"/>
          <w:caps w:val="0"/>
          <w:color w:val="000000"/>
          <w:spacing w:val="0"/>
          <w:kern w:val="0"/>
          <w:sz w:val="28"/>
          <w:szCs w:val="28"/>
          <w:lang w:val="en-US" w:eastAsia="zh-CN" w:bidi="ar"/>
        </w:rPr>
        <w:t>2011</w:t>
      </w:r>
      <w:r>
        <w:rPr>
          <w:rFonts w:hint="eastAsia" w:ascii="仿宋_GB2312" w:hAnsi="微软雅黑" w:eastAsia="仿宋_GB2312" w:cs="仿宋_GB2312"/>
          <w:b w:val="0"/>
          <w:i w:val="0"/>
          <w:caps w:val="0"/>
          <w:color w:val="000000"/>
          <w:spacing w:val="0"/>
          <w:kern w:val="0"/>
          <w:sz w:val="28"/>
          <w:szCs w:val="28"/>
          <w:lang w:val="en-US" w:eastAsia="zh-CN" w:bidi="ar"/>
        </w:rPr>
        <w:t>年秋季学期开始，对退役一年以上，考入全日制普通高等学校（包括全日制普通本科学校、全日制普通高等专科学校和全日制普通高等职业学校）的自主就业退役士兵，根据本人申请（每年一次），由政府给予教育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学费资助标准，按省级人民政府制定的学费标准，原则上退役士兵学生应交多少学费中央财政就资助多少，最高不超过本专科生每人每年</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元、研究生每人每年</w:t>
      </w:r>
      <w:r>
        <w:rPr>
          <w:rFonts w:hint="eastAsia" w:ascii="微软雅黑" w:hAnsi="微软雅黑" w:eastAsia="微软雅黑" w:cs="微软雅黑"/>
          <w:b w:val="0"/>
          <w:i w:val="0"/>
          <w:caps w:val="0"/>
          <w:color w:val="000000"/>
          <w:spacing w:val="0"/>
          <w:kern w:val="0"/>
          <w:sz w:val="28"/>
          <w:szCs w:val="28"/>
          <w:lang w:val="en-US" w:eastAsia="zh-CN" w:bidi="ar"/>
        </w:rPr>
        <w:t>12000</w:t>
      </w:r>
      <w:r>
        <w:rPr>
          <w:rFonts w:hint="eastAsia" w:ascii="仿宋_GB2312" w:hAnsi="微软雅黑" w:eastAsia="仿宋_GB2312" w:cs="仿宋_GB2312"/>
          <w:b w:val="0"/>
          <w:i w:val="0"/>
          <w:caps w:val="0"/>
          <w:color w:val="000000"/>
          <w:spacing w:val="0"/>
          <w:kern w:val="0"/>
          <w:sz w:val="28"/>
          <w:szCs w:val="28"/>
          <w:lang w:val="en-US" w:eastAsia="zh-CN" w:bidi="ar"/>
        </w:rPr>
        <w:t>元。生活费及其他奖助学金资助标准，按国家现行高校学生资助政策的有关规定执行。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．资助方式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学费由中央财政按标准和隶属关系补助退役士兵学生所在学校</w:t>
      </w:r>
      <w:r>
        <w:rPr>
          <w:rFonts w:hint="eastAsia" w:ascii="仿宋_GB2312" w:hAnsi="微软雅黑" w:eastAsia="仿宋_GB2312" w:cs="仿宋_GB2312"/>
          <w:b w:val="0"/>
          <w:i w:val="0"/>
          <w:caps w:val="0"/>
          <w:color w:val="FF0000"/>
          <w:spacing w:val="0"/>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4</w:t>
      </w:r>
      <w:r>
        <w:rPr>
          <w:rFonts w:hint="eastAsia" w:ascii="仿宋_GB2312" w:hAnsi="微软雅黑" w:eastAsia="仿宋_GB2312" w:cs="仿宋_GB2312"/>
          <w:b/>
          <w:i w:val="0"/>
          <w:caps w:val="0"/>
          <w:color w:val="000000"/>
          <w:spacing w:val="0"/>
          <w:kern w:val="0"/>
          <w:sz w:val="28"/>
          <w:szCs w:val="28"/>
          <w:lang w:val="en-US" w:eastAsia="zh-CN" w:bidi="ar"/>
        </w:rPr>
        <w:t>．资助期限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全日制普通高等学历教育一个学制期。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（十四）高等学校毕业生赴基层单位就业国家助学贷款代偿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自</w:t>
      </w:r>
      <w:r>
        <w:rPr>
          <w:rFonts w:hint="eastAsia" w:ascii="微软雅黑" w:hAnsi="微软雅黑" w:eastAsia="微软雅黑" w:cs="微软雅黑"/>
          <w:b w:val="0"/>
          <w:i w:val="0"/>
          <w:caps w:val="0"/>
          <w:color w:val="000000"/>
          <w:spacing w:val="0"/>
          <w:kern w:val="0"/>
          <w:sz w:val="28"/>
          <w:szCs w:val="28"/>
          <w:lang w:val="en-US" w:eastAsia="zh-CN" w:bidi="ar"/>
        </w:rPr>
        <w:t>2011</w:t>
      </w:r>
      <w:r>
        <w:rPr>
          <w:rFonts w:hint="eastAsia" w:ascii="仿宋_GB2312" w:hAnsi="微软雅黑" w:eastAsia="仿宋_GB2312" w:cs="仿宋_GB2312"/>
          <w:b w:val="0"/>
          <w:i w:val="0"/>
          <w:caps w:val="0"/>
          <w:color w:val="000000"/>
          <w:spacing w:val="0"/>
          <w:kern w:val="0"/>
          <w:sz w:val="28"/>
          <w:szCs w:val="28"/>
          <w:lang w:val="en-US" w:eastAsia="zh-CN" w:bidi="ar"/>
        </w:rPr>
        <w:t>年起，我省对我国境内全日制普通高等学校应届毕业生，自愿到我省艰苦边远地区县以下基层单位工作、服务期达到</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年以上（含</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年）、服务期考核合格的学生实施助学贷款（含高校国家助学贷款和生源地信用助学贷款）代偿。每年</w:t>
      </w:r>
      <w:r>
        <w:rPr>
          <w:rFonts w:hint="eastAsia" w:ascii="微软雅黑" w:hAnsi="微软雅黑" w:eastAsia="微软雅黑" w:cs="微软雅黑"/>
          <w:b w:val="0"/>
          <w:i w:val="0"/>
          <w:caps w:val="0"/>
          <w:color w:val="000000"/>
          <w:spacing w:val="0"/>
          <w:kern w:val="0"/>
          <w:sz w:val="28"/>
          <w:szCs w:val="28"/>
          <w:lang w:val="en-US" w:eastAsia="zh-CN" w:bidi="ar"/>
        </w:rPr>
        <w:t>10</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31</w:t>
      </w:r>
      <w:r>
        <w:rPr>
          <w:rFonts w:hint="eastAsia" w:ascii="仿宋_GB2312" w:hAnsi="微软雅黑" w:eastAsia="仿宋_GB2312" w:cs="仿宋_GB2312"/>
          <w:b w:val="0"/>
          <w:i w:val="0"/>
          <w:caps w:val="0"/>
          <w:color w:val="000000"/>
          <w:spacing w:val="0"/>
          <w:kern w:val="0"/>
          <w:sz w:val="28"/>
          <w:szCs w:val="28"/>
          <w:lang w:val="en-US" w:eastAsia="zh-CN" w:bidi="ar"/>
        </w:rPr>
        <w:t>日前服务期满的毕业生可于当年申请贷款代偿，</w:t>
      </w:r>
      <w:r>
        <w:rPr>
          <w:rFonts w:hint="eastAsia" w:ascii="微软雅黑" w:hAnsi="微软雅黑" w:eastAsia="微软雅黑" w:cs="微软雅黑"/>
          <w:b w:val="0"/>
          <w:i w:val="0"/>
          <w:caps w:val="0"/>
          <w:color w:val="000000"/>
          <w:spacing w:val="0"/>
          <w:kern w:val="0"/>
          <w:sz w:val="28"/>
          <w:szCs w:val="28"/>
          <w:lang w:val="en-US" w:eastAsia="zh-CN" w:bidi="ar"/>
        </w:rPr>
        <w:t>11</w:t>
      </w:r>
      <w:r>
        <w:rPr>
          <w:rFonts w:hint="eastAsia" w:ascii="仿宋_GB2312" w:hAnsi="微软雅黑" w:eastAsia="仿宋_GB2312" w:cs="仿宋_GB2312"/>
          <w:b w:val="0"/>
          <w:i w:val="0"/>
          <w:caps w:val="0"/>
          <w:color w:val="000000"/>
          <w:spacing w:val="0"/>
          <w:kern w:val="0"/>
          <w:sz w:val="28"/>
          <w:szCs w:val="28"/>
          <w:lang w:val="en-US" w:eastAsia="zh-CN" w:bidi="ar"/>
        </w:rPr>
        <w:t>月</w:t>
      </w:r>
      <w:r>
        <w:rPr>
          <w:rFonts w:hint="eastAsia" w:ascii="微软雅黑" w:hAnsi="微软雅黑" w:eastAsia="微软雅黑" w:cs="微软雅黑"/>
          <w:b w:val="0"/>
          <w:i w:val="0"/>
          <w:caps w:val="0"/>
          <w:color w:val="000000"/>
          <w:spacing w:val="0"/>
          <w:kern w:val="0"/>
          <w:sz w:val="28"/>
          <w:szCs w:val="28"/>
          <w:lang w:val="en-US" w:eastAsia="zh-CN" w:bidi="ar"/>
        </w:rPr>
        <w:t>1</w:t>
      </w:r>
      <w:r>
        <w:rPr>
          <w:rFonts w:hint="eastAsia" w:ascii="仿宋_GB2312" w:hAnsi="微软雅黑" w:eastAsia="仿宋_GB2312" w:cs="仿宋_GB2312"/>
          <w:b w:val="0"/>
          <w:i w:val="0"/>
          <w:caps w:val="0"/>
          <w:color w:val="000000"/>
          <w:spacing w:val="0"/>
          <w:kern w:val="0"/>
          <w:sz w:val="28"/>
          <w:szCs w:val="28"/>
          <w:lang w:val="en-US" w:eastAsia="zh-CN" w:bidi="ar"/>
        </w:rPr>
        <w:t>日以后服务期满的毕业生在下年度申请代偿。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每个高校毕业生每学年代偿国家助学贷款的金额最高不超过本专科生</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元、研究生</w:t>
      </w:r>
      <w:r>
        <w:rPr>
          <w:rFonts w:hint="eastAsia" w:ascii="微软雅黑" w:hAnsi="微软雅黑" w:eastAsia="微软雅黑" w:cs="微软雅黑"/>
          <w:b w:val="0"/>
          <w:i w:val="0"/>
          <w:caps w:val="0"/>
          <w:color w:val="000000"/>
          <w:spacing w:val="0"/>
          <w:kern w:val="0"/>
          <w:sz w:val="28"/>
          <w:szCs w:val="28"/>
          <w:lang w:val="en-US" w:eastAsia="zh-CN" w:bidi="ar"/>
        </w:rPr>
        <w:t>12000</w:t>
      </w:r>
      <w:r>
        <w:rPr>
          <w:rFonts w:hint="eastAsia" w:ascii="仿宋_GB2312" w:hAnsi="微软雅黑" w:eastAsia="仿宋_GB2312" w:cs="仿宋_GB2312"/>
          <w:b w:val="0"/>
          <w:i w:val="0"/>
          <w:caps w:val="0"/>
          <w:color w:val="000000"/>
          <w:spacing w:val="0"/>
          <w:kern w:val="0"/>
          <w:sz w:val="28"/>
          <w:szCs w:val="28"/>
          <w:lang w:val="en-US" w:eastAsia="zh-CN" w:bidi="ar"/>
        </w:rPr>
        <w:t>元。毕业生在校学习期间每年实际获得的国家助学贷款低于以上最高代偿金额的，按照实际获得的国家助学贷款金额实行代偿。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宋体" w:hAnsi="宋体" w:eastAsia="宋体" w:cs="宋体"/>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在校期间助学贷款的利息已由省、市财政代偿的，服务期满经考核合格后财政只代偿在校学习期间国家助学贷款本金；如利息没有代偿的，先由毕业生垫付，任职期满经考核合格后由财政一次性补偿给毕业生。毕业后到本金全部偿还之前的利息由学生自行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本科、专科（高职）、研究生和第二学士学位毕业生国家助学贷款的年限，分别按照国家规定的相应学制计算。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拥护中国共产党的领导，热爱祖国，遵守宪法和法律；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在校期间遵守学校各项规章制度，诚实守信，道德品质良好，学习成绩合格；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毕业时自愿到我省艰苦边远地区基层单位工作、服务期在</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年以上（含</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．审批发放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高校毕业生服务期满</w:t>
      </w:r>
      <w:r>
        <w:rPr>
          <w:rFonts w:hint="eastAsia" w:ascii="微软雅黑" w:hAnsi="微软雅黑" w:eastAsia="微软雅黑" w:cs="微软雅黑"/>
          <w:b w:val="0"/>
          <w:i w:val="0"/>
          <w:caps w:val="0"/>
          <w:color w:val="000000"/>
          <w:spacing w:val="0"/>
          <w:kern w:val="0"/>
          <w:sz w:val="28"/>
          <w:szCs w:val="28"/>
          <w:lang w:val="en-US" w:eastAsia="zh-CN" w:bidi="ar"/>
        </w:rPr>
        <w:t>3</w:t>
      </w:r>
      <w:r>
        <w:rPr>
          <w:rFonts w:hint="eastAsia" w:ascii="仿宋_GB2312" w:hAnsi="微软雅黑" w:eastAsia="仿宋_GB2312" w:cs="仿宋_GB2312"/>
          <w:b w:val="0"/>
          <w:i w:val="0"/>
          <w:caps w:val="0"/>
          <w:color w:val="000000"/>
          <w:spacing w:val="0"/>
          <w:kern w:val="0"/>
          <w:sz w:val="28"/>
          <w:szCs w:val="28"/>
          <w:lang w:val="en-US" w:eastAsia="zh-CN" w:bidi="ar"/>
        </w:rPr>
        <w:t>年后，由就业单位县级主管部门在学生代偿申请表上填写审查意见并加盖单位公章后，</w:t>
      </w:r>
      <w:r>
        <w:rPr>
          <w:rFonts w:hint="eastAsia" w:ascii="仿宋_GB2312" w:hAnsi="微软雅黑" w:eastAsia="仿宋_GB2312" w:cs="仿宋_GB2312"/>
          <w:b w:val="0"/>
          <w:i w:val="0"/>
          <w:caps w:val="0"/>
          <w:color w:val="FF0000"/>
          <w:spacing w:val="0"/>
          <w:kern w:val="0"/>
          <w:sz w:val="28"/>
          <w:szCs w:val="28"/>
          <w:lang w:val="en-US" w:eastAsia="zh-CN" w:bidi="ar"/>
        </w:rPr>
        <w:t>按照有关通知时间要求</w:t>
      </w:r>
      <w:r>
        <w:rPr>
          <w:rFonts w:hint="eastAsia" w:ascii="仿宋_GB2312" w:hAnsi="微软雅黑" w:eastAsia="仿宋_GB2312" w:cs="仿宋_GB2312"/>
          <w:b w:val="0"/>
          <w:i w:val="0"/>
          <w:caps w:val="0"/>
          <w:color w:val="000000"/>
          <w:spacing w:val="0"/>
          <w:kern w:val="0"/>
          <w:sz w:val="28"/>
          <w:szCs w:val="28"/>
          <w:lang w:val="en-US" w:eastAsia="zh-CN" w:bidi="ar"/>
        </w:rPr>
        <w:t>交县级学生资助管理中心汇总，县、市、省三级学生资助管理中心逐级审核后，确定获得国家助学贷款代偿资格的学生名单，并以此为根据向省财政厅报送资金需求，同时将有关审批文件和名单上报省财政厅、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我省对到艰苦边远地区基层单位就业获得国家助学贷款代偿资格的高校毕业生采取服务期满，一次性代偿的办法。即服务期满经考核合格后一次性代偿资助完毕，并由获得代偿资助的学生向国家助学贷款经办银行一次性偿还剩余本息，代偿资金发放到账前，学生应按照国家助学贷款有关政策规定按期履行到期本息的偿付义务，如未及时偿还，造成的违约后果由学生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省财政厅、省教育厅会同有关部门根据省资助中心提出的需求，审核后对各市下达省级代偿资金和代偿学生名单。各市、县财政局按照确定的代偿名单将代偿资金一次性存入毕业生本人的银行卡中。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（十）高等学校学生应征入伍服义务兵役国家资助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从</w:t>
      </w:r>
      <w:r>
        <w:rPr>
          <w:rFonts w:hint="eastAsia" w:ascii="微软雅黑" w:hAnsi="微软雅黑" w:eastAsia="微软雅黑" w:cs="微软雅黑"/>
          <w:b w:val="0"/>
          <w:i w:val="0"/>
          <w:caps w:val="0"/>
          <w:color w:val="000000"/>
          <w:spacing w:val="0"/>
          <w:kern w:val="0"/>
          <w:sz w:val="28"/>
          <w:szCs w:val="28"/>
          <w:lang w:val="en-US" w:eastAsia="zh-CN" w:bidi="ar"/>
        </w:rPr>
        <w:t>2009</w:t>
      </w:r>
      <w:r>
        <w:rPr>
          <w:rFonts w:hint="eastAsia" w:ascii="仿宋_GB2312" w:hAnsi="微软雅黑" w:eastAsia="仿宋_GB2312" w:cs="仿宋_GB2312"/>
          <w:b w:val="0"/>
          <w:i w:val="0"/>
          <w:caps w:val="0"/>
          <w:color w:val="000000"/>
          <w:spacing w:val="0"/>
          <w:kern w:val="0"/>
          <w:sz w:val="28"/>
          <w:szCs w:val="28"/>
          <w:lang w:val="en-US" w:eastAsia="zh-CN" w:bidi="ar"/>
        </w:rPr>
        <w:t>年起，国家对应征入伍服义务兵役的高校学生，在入伍时对其在校期间缴纳的学费实行一次性补偿或获得的国家助学贷款实行代偿；应征入伍服义务兵役前正在高等学校就读的学生（含按国家招生规定录取的高等学校新生），服役期间按国家有关规定保留学籍或入学资格、退役后自愿复学的，国家实行学费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学费补偿、国家助学贷款代偿及学费减免的标准，本专科生每人每年最高不超过</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元，研究生每人每年最高不超过</w:t>
      </w:r>
      <w:r>
        <w:rPr>
          <w:rFonts w:hint="eastAsia" w:ascii="微软雅黑" w:hAnsi="微软雅黑" w:eastAsia="微软雅黑" w:cs="微软雅黑"/>
          <w:b w:val="0"/>
          <w:i w:val="0"/>
          <w:caps w:val="0"/>
          <w:color w:val="000000"/>
          <w:spacing w:val="0"/>
          <w:kern w:val="0"/>
          <w:sz w:val="28"/>
          <w:szCs w:val="28"/>
          <w:lang w:val="en-US" w:eastAsia="zh-CN" w:bidi="ar"/>
        </w:rPr>
        <w:t>12000</w:t>
      </w:r>
      <w:r>
        <w:rPr>
          <w:rFonts w:hint="eastAsia" w:ascii="仿宋_GB2312" w:hAnsi="微软雅黑" w:eastAsia="仿宋_GB2312" w:cs="仿宋_GB2312"/>
          <w:b w:val="0"/>
          <w:i w:val="0"/>
          <w:caps w:val="0"/>
          <w:color w:val="00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学费补偿、国家助学贷款代偿和学费减免的年限，按照国家对本科、专科（高职）、研究生和第二学士学位规定的相应修业年限据实计算。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24"/>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所有参军入伍的高校学生必须上网登记报名（网址：</w:t>
      </w:r>
      <w:r>
        <w:rPr>
          <w:rFonts w:hint="eastAsia" w:ascii="微软雅黑" w:hAnsi="微软雅黑" w:eastAsia="微软雅黑" w:cs="微软雅黑"/>
          <w:b w:val="0"/>
          <w:i w:val="0"/>
          <w:caps w:val="0"/>
          <w:color w:val="000000"/>
          <w:spacing w:val="0"/>
          <w:kern w:val="0"/>
          <w:sz w:val="28"/>
          <w:szCs w:val="28"/>
          <w:lang w:val="en-US" w:eastAsia="zh-CN" w:bidi="ar"/>
        </w:rPr>
        <w:t>http://zbbm.chsi.com.cn</w:t>
      </w:r>
      <w:r>
        <w:rPr>
          <w:rFonts w:hint="eastAsia" w:ascii="仿宋_GB2312" w:hAnsi="微软雅黑" w:eastAsia="仿宋_GB2312" w:cs="仿宋_GB2312"/>
          <w:b w:val="0"/>
          <w:i w:val="0"/>
          <w:caps w:val="0"/>
          <w:color w:val="000000"/>
          <w:spacing w:val="0"/>
          <w:kern w:val="0"/>
          <w:sz w:val="28"/>
          <w:szCs w:val="28"/>
          <w:lang w:val="en-US" w:eastAsia="zh-CN" w:bidi="ar"/>
        </w:rPr>
        <w:t>或</w:t>
      </w:r>
      <w:r>
        <w:rPr>
          <w:rFonts w:hint="eastAsia" w:ascii="微软雅黑" w:hAnsi="微软雅黑" w:eastAsia="微软雅黑" w:cs="微软雅黑"/>
          <w:b w:val="0"/>
          <w:i w:val="0"/>
          <w:caps w:val="0"/>
          <w:color w:val="000000"/>
          <w:spacing w:val="0"/>
          <w:kern w:val="0"/>
          <w:sz w:val="28"/>
          <w:szCs w:val="28"/>
          <w:lang w:val="en-US" w:eastAsia="zh-CN" w:bidi="ar"/>
        </w:rPr>
        <w:t>http://zbbm.chsi.cn</w:t>
      </w:r>
      <w:r>
        <w:rPr>
          <w:rFonts w:hint="eastAsia" w:ascii="仿宋_GB2312" w:hAnsi="微软雅黑" w:eastAsia="仿宋_GB2312" w:cs="仿宋_GB2312"/>
          <w:b w:val="0"/>
          <w:i w:val="0"/>
          <w:caps w:val="0"/>
          <w:color w:val="000000"/>
          <w:spacing w:val="0"/>
          <w:kern w:val="0"/>
          <w:sz w:val="28"/>
          <w:szCs w:val="28"/>
          <w:lang w:val="en-US" w:eastAsia="zh-CN" w:bidi="ar"/>
        </w:rPr>
        <w:t>），填写打印《应征入伍高校毕业生学费补偿国家助学贷款代偿申请表》、《应征入伍高校在校生学费补偿国家助学贷款代偿申请表》或《应征入伍高校复学生学费资助申请表》，办理相应的学费补偿贷款代偿或学费资助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（十一）高等学校学生直接招收士官国家资助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从</w:t>
      </w:r>
      <w:r>
        <w:rPr>
          <w:rFonts w:hint="eastAsia" w:ascii="微软雅黑" w:hAnsi="微软雅黑" w:eastAsia="微软雅黑" w:cs="微软雅黑"/>
          <w:b w:val="0"/>
          <w:i w:val="0"/>
          <w:caps w:val="0"/>
          <w:color w:val="000000"/>
          <w:spacing w:val="0"/>
          <w:kern w:val="0"/>
          <w:sz w:val="28"/>
          <w:szCs w:val="28"/>
          <w:lang w:val="en-US" w:eastAsia="zh-CN" w:bidi="ar"/>
        </w:rPr>
        <w:t>2015</w:t>
      </w:r>
      <w:r>
        <w:rPr>
          <w:rFonts w:hint="eastAsia" w:ascii="仿宋_GB2312" w:hAnsi="微软雅黑" w:eastAsia="仿宋_GB2312" w:cs="仿宋_GB2312"/>
          <w:b w:val="0"/>
          <w:i w:val="0"/>
          <w:caps w:val="0"/>
          <w:color w:val="000000"/>
          <w:spacing w:val="0"/>
          <w:kern w:val="0"/>
          <w:sz w:val="28"/>
          <w:szCs w:val="28"/>
          <w:lang w:val="en-US" w:eastAsia="zh-CN" w:bidi="ar"/>
        </w:rPr>
        <w:t>年起，国家对直接招收为士官的高等学校学生施行国家资助，入伍时对其在校期间的缴纳的学费实行一次性补偿或获得的国家助学贷款（包含校园地国家助学贷款和生源地信用助学贷款，下同）实行代偿。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学费补偿或国家助学贷款代偿金额，按学生实际缴纳的学费或获得的国家助学贷款（包含本金及其全部偿还之前产生的利息，下同）两者金额较高者执行，据实补偿或者代偿，但本专科学生每人每年最高不超过</w:t>
      </w:r>
      <w:r>
        <w:rPr>
          <w:rFonts w:hint="eastAsia" w:ascii="微软雅黑" w:hAnsi="微软雅黑" w:eastAsia="微软雅黑" w:cs="微软雅黑"/>
          <w:b w:val="0"/>
          <w:i w:val="0"/>
          <w:caps w:val="0"/>
          <w:color w:val="000000"/>
          <w:spacing w:val="0"/>
          <w:kern w:val="0"/>
          <w:sz w:val="28"/>
          <w:szCs w:val="28"/>
          <w:lang w:val="en-US" w:eastAsia="zh-CN" w:bidi="ar"/>
        </w:rPr>
        <w:t>8000</w:t>
      </w:r>
      <w:r>
        <w:rPr>
          <w:rFonts w:hint="eastAsia" w:ascii="仿宋_GB2312" w:hAnsi="微软雅黑" w:eastAsia="仿宋_GB2312" w:cs="仿宋_GB2312"/>
          <w:b w:val="0"/>
          <w:i w:val="0"/>
          <w:caps w:val="0"/>
          <w:color w:val="000000"/>
          <w:spacing w:val="0"/>
          <w:kern w:val="0"/>
          <w:sz w:val="28"/>
          <w:szCs w:val="28"/>
          <w:lang w:val="en-US" w:eastAsia="zh-CN" w:bidi="ar"/>
        </w:rPr>
        <w:t>元，研究生每人每年最高不超过</w:t>
      </w:r>
      <w:r>
        <w:rPr>
          <w:rFonts w:hint="eastAsia" w:ascii="微软雅黑" w:hAnsi="微软雅黑" w:eastAsia="微软雅黑" w:cs="微软雅黑"/>
          <w:b w:val="0"/>
          <w:i w:val="0"/>
          <w:caps w:val="0"/>
          <w:color w:val="000000"/>
          <w:spacing w:val="0"/>
          <w:kern w:val="0"/>
          <w:sz w:val="28"/>
          <w:szCs w:val="28"/>
          <w:lang w:val="en-US" w:eastAsia="zh-CN" w:bidi="ar"/>
        </w:rPr>
        <w:t>12000</w:t>
      </w:r>
      <w:r>
        <w:rPr>
          <w:rFonts w:hint="eastAsia" w:ascii="仿宋_GB2312" w:hAnsi="微软雅黑" w:eastAsia="仿宋_GB2312" w:cs="仿宋_GB2312"/>
          <w:b w:val="0"/>
          <w:i w:val="0"/>
          <w:caps w:val="0"/>
          <w:color w:val="000000"/>
          <w:spacing w:val="0"/>
          <w:kern w:val="0"/>
          <w:sz w:val="28"/>
          <w:szCs w:val="28"/>
          <w:lang w:val="en-US" w:eastAsia="zh-CN" w:bidi="ar"/>
        </w:rPr>
        <w:t>元。获学费补偿学生在校期间获得国家助学贷款的，补偿金额必须首先用于偿还国家助学贷款；如补偿金额高于国家助学贷款金额，高出部分退还学生。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直接招收为士官的高校学生国家资助的年限，按照国家对本科、专科（高职）、研究生和第二学士学位规定的相应修业年限据实计算。专升本、本硕连读、中职高职连读、第二学士学位毕业生补偿学费或代偿国家助学贷款的年限，分别按照完成本科、硕士、高职和第二学士学位阶段学习任务规定的学习时间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．申请方式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所有直接招收为士官的高校学生必须在全国征兵网上注册登记，填写打印《直接招收为士官的高校学生学费补偿国家助学贷款代偿申请表》，办理相应的学费补偿贷款代偿申请。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（十二）高校家庭经济困难新生入学资助项目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从</w:t>
      </w:r>
      <w:r>
        <w:rPr>
          <w:rFonts w:hint="eastAsia" w:ascii="微软雅黑" w:hAnsi="微软雅黑" w:eastAsia="微软雅黑" w:cs="微软雅黑"/>
          <w:b w:val="0"/>
          <w:i w:val="0"/>
          <w:caps w:val="0"/>
          <w:color w:val="000000"/>
          <w:spacing w:val="0"/>
          <w:kern w:val="0"/>
          <w:sz w:val="28"/>
          <w:szCs w:val="28"/>
          <w:lang w:val="en-US" w:eastAsia="zh-CN" w:bidi="ar"/>
        </w:rPr>
        <w:t>2012</w:t>
      </w:r>
      <w:r>
        <w:rPr>
          <w:rFonts w:hint="eastAsia" w:ascii="仿宋_GB2312" w:hAnsi="微软雅黑" w:eastAsia="仿宋_GB2312" w:cs="仿宋_GB2312"/>
          <w:b w:val="0"/>
          <w:i w:val="0"/>
          <w:caps w:val="0"/>
          <w:color w:val="000000"/>
          <w:spacing w:val="0"/>
          <w:kern w:val="0"/>
          <w:sz w:val="28"/>
          <w:szCs w:val="28"/>
          <w:lang w:val="en-US" w:eastAsia="zh-CN" w:bidi="ar"/>
        </w:rPr>
        <w:t>年秋季学期起，中国教育发展基金会（以下简称基金会）每年分配我省若干中央专项彩票公益金“润雨计划”专项资金，用于一次性补助部分高校家庭经济困难新生入校报到的交通费及入学后短期生活费（以下简称入学资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．资助范围与对象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中西部地区每年高考考入全日制普通高等院校的家庭经济困难新生。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本项目所指中西部地区具体包括：河北省、山西省、内蒙古自治区、吉林省、黑龙江省、安徽省、江西省、河南省、湖北省、湖南省、广西壮族自治区、海南省、重庆市、四川省、贵州省、云南省、西藏自治区、陕西省、甘肃省、宁夏回族自治区、青海省、新疆维吾尔自治区、新疆生产建设兵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24"/>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省内院校录取新生每人</w:t>
      </w:r>
      <w:r>
        <w:rPr>
          <w:rFonts w:hint="eastAsia" w:ascii="微软雅黑" w:hAnsi="微软雅黑" w:eastAsia="微软雅黑" w:cs="微软雅黑"/>
          <w:b w:val="0"/>
          <w:i w:val="0"/>
          <w:caps w:val="0"/>
          <w:color w:val="000000"/>
          <w:spacing w:val="0"/>
          <w:kern w:val="0"/>
          <w:sz w:val="28"/>
          <w:szCs w:val="28"/>
          <w:lang w:val="en-US" w:eastAsia="zh-CN" w:bidi="ar"/>
        </w:rPr>
        <w:t>500</w:t>
      </w:r>
      <w:r>
        <w:rPr>
          <w:rFonts w:hint="eastAsia" w:ascii="仿宋_GB2312" w:hAnsi="微软雅黑" w:eastAsia="仿宋_GB2312" w:cs="仿宋_GB2312"/>
          <w:b w:val="0"/>
          <w:i w:val="0"/>
          <w:caps w:val="0"/>
          <w:color w:val="000000"/>
          <w:spacing w:val="0"/>
          <w:kern w:val="0"/>
          <w:sz w:val="28"/>
          <w:szCs w:val="28"/>
          <w:lang w:val="en-US" w:eastAsia="zh-CN" w:bidi="ar"/>
        </w:rPr>
        <w:t>元，省外院校录取新生每人</w:t>
      </w:r>
      <w:r>
        <w:rPr>
          <w:rFonts w:hint="eastAsia" w:ascii="微软雅黑" w:hAnsi="微软雅黑" w:eastAsia="微软雅黑" w:cs="微软雅黑"/>
          <w:b w:val="0"/>
          <w:i w:val="0"/>
          <w:caps w:val="0"/>
          <w:color w:val="000000"/>
          <w:spacing w:val="0"/>
          <w:kern w:val="0"/>
          <w:sz w:val="28"/>
          <w:szCs w:val="28"/>
          <w:lang w:val="en-US" w:eastAsia="zh-CN" w:bidi="ar"/>
        </w:rPr>
        <w:t>1000</w:t>
      </w:r>
      <w:r>
        <w:rPr>
          <w:rFonts w:hint="eastAsia" w:ascii="仿宋_GB2312" w:hAnsi="微软雅黑" w:eastAsia="仿宋_GB2312" w:cs="仿宋_GB2312"/>
          <w:b w:val="0"/>
          <w:i w:val="0"/>
          <w:caps w:val="0"/>
          <w:color w:val="000000"/>
          <w:spacing w:val="0"/>
          <w:kern w:val="0"/>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①</w:t>
      </w:r>
      <w:r>
        <w:rPr>
          <w:rFonts w:hint="eastAsia" w:ascii="仿宋_GB2312" w:hAnsi="微软雅黑" w:eastAsia="仿宋_GB2312" w:cs="仿宋_GB2312"/>
          <w:b w:val="0"/>
          <w:i w:val="0"/>
          <w:caps w:val="0"/>
          <w:color w:val="000000"/>
          <w:spacing w:val="0"/>
          <w:kern w:val="0"/>
          <w:sz w:val="28"/>
          <w:szCs w:val="28"/>
          <w:lang w:val="en-US" w:eastAsia="zh-CN" w:bidi="ar"/>
        </w:rPr>
        <w:t>热爱祖国，拥护中国共产党领导；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②</w:t>
      </w:r>
      <w:r>
        <w:rPr>
          <w:rFonts w:hint="eastAsia" w:ascii="仿宋_GB2312" w:hAnsi="微软雅黑" w:eastAsia="仿宋_GB2312" w:cs="仿宋_GB2312"/>
          <w:b w:val="0"/>
          <w:i w:val="0"/>
          <w:caps w:val="0"/>
          <w:color w:val="000000"/>
          <w:spacing w:val="0"/>
          <w:kern w:val="0"/>
          <w:sz w:val="28"/>
          <w:szCs w:val="28"/>
          <w:lang w:val="en-US" w:eastAsia="zh-CN" w:bidi="ar"/>
        </w:rPr>
        <w:t>遵守宪法和法律，遵守学校规章制度；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③</w:t>
      </w:r>
      <w:r>
        <w:rPr>
          <w:rFonts w:hint="eastAsia" w:ascii="仿宋_GB2312" w:hAnsi="微软雅黑" w:eastAsia="仿宋_GB2312" w:cs="仿宋_GB2312"/>
          <w:b w:val="0"/>
          <w:i w:val="0"/>
          <w:caps w:val="0"/>
          <w:color w:val="000000"/>
          <w:spacing w:val="0"/>
          <w:kern w:val="0"/>
          <w:sz w:val="28"/>
          <w:szCs w:val="28"/>
          <w:lang w:val="en-US" w:eastAsia="zh-CN" w:bidi="ar"/>
        </w:rPr>
        <w:t>普通高中应届毕业生；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④</w:t>
      </w:r>
      <w:r>
        <w:rPr>
          <w:rFonts w:hint="eastAsia" w:ascii="仿宋_GB2312" w:hAnsi="微软雅黑" w:eastAsia="仿宋_GB2312" w:cs="仿宋_GB2312"/>
          <w:b w:val="0"/>
          <w:i w:val="0"/>
          <w:caps w:val="0"/>
          <w:color w:val="000000"/>
          <w:spacing w:val="0"/>
          <w:kern w:val="0"/>
          <w:sz w:val="28"/>
          <w:szCs w:val="28"/>
          <w:lang w:val="en-US" w:eastAsia="zh-CN" w:bidi="ar"/>
        </w:rPr>
        <w:t>参加高考并被全日制普通高等院校（含高职）录取；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val="0"/>
          <w:i w:val="0"/>
          <w:caps w:val="0"/>
          <w:color w:val="000000"/>
          <w:spacing w:val="0"/>
          <w:kern w:val="0"/>
          <w:sz w:val="28"/>
          <w:szCs w:val="28"/>
          <w:lang w:val="en-US" w:eastAsia="zh-CN" w:bidi="ar"/>
        </w:rPr>
        <w:t>⑤</w:t>
      </w:r>
      <w:r>
        <w:rPr>
          <w:rFonts w:hint="eastAsia" w:ascii="仿宋_GB2312" w:hAnsi="微软雅黑" w:eastAsia="仿宋_GB2312" w:cs="仿宋_GB2312"/>
          <w:b w:val="0"/>
          <w:i w:val="0"/>
          <w:caps w:val="0"/>
          <w:color w:val="000000"/>
          <w:spacing w:val="0"/>
          <w:kern w:val="0"/>
          <w:sz w:val="28"/>
          <w:szCs w:val="28"/>
          <w:lang w:val="en-US" w:eastAsia="zh-CN" w:bidi="ar"/>
        </w:rPr>
        <w:t>家庭经济困难，生活俭朴。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入学资助项目优先资助孤残学生、父母丧失劳动能力学生、少数民族学生、烈士子女、单亲家庭经济困难学生、农村绝对贫困家庭学生、享受城镇居民最低生活保障政策家庭和因突发事件导致家庭经济困难学生、农村计划生育独生子女和双女户家庭学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该项资金于每年上半年分配到各学校，符合上述条件的学生可直接到所毕业的高中提出申请。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（十三）勤工助学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勤工助学是指学生在学校的组织下利用课余时间，通过自己的劳动取得合法报酬，用于改善学习和生活条件的社会实践活动。勤工助学是学校学生资助工作的重要组成部分，是提高学生综合素质和资助家庭经济困难学生的有效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1</w:t>
      </w:r>
      <w:r>
        <w:rPr>
          <w:rFonts w:hint="eastAsia" w:ascii="仿宋_GB2312" w:hAnsi="微软雅黑" w:eastAsia="仿宋_GB2312" w:cs="仿宋_GB2312"/>
          <w:b/>
          <w:i w:val="0"/>
          <w:caps w:val="0"/>
          <w:color w:val="000000"/>
          <w:spacing w:val="0"/>
          <w:kern w:val="0"/>
          <w:sz w:val="28"/>
          <w:szCs w:val="28"/>
          <w:lang w:val="en-US" w:eastAsia="zh-CN" w:bidi="ar"/>
        </w:rPr>
        <w:t>．活动管理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在学有余力的前提下，向学校提出勤工助学的申请，接受必要的勤工助学岗前培训和安全教育，再由学校统一安排到校内或校外的岗位上进行勤工助学活动。学校不得安排学生参加有毒、有害和危险的生产作业以及超过身体承受能力、有碍健康的劳动。任何单位和个人未经学校同意，不得聘用在校学生打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2</w:t>
      </w:r>
      <w:r>
        <w:rPr>
          <w:rFonts w:hint="eastAsia" w:ascii="仿宋_GB2312" w:hAnsi="微软雅黑" w:eastAsia="仿宋_GB2312" w:cs="仿宋_GB2312"/>
          <w:b/>
          <w:i w:val="0"/>
          <w:caps w:val="0"/>
          <w:color w:val="000000"/>
          <w:spacing w:val="0"/>
          <w:kern w:val="0"/>
          <w:sz w:val="28"/>
          <w:szCs w:val="28"/>
          <w:lang w:val="en-US" w:eastAsia="zh-CN" w:bidi="ar"/>
        </w:rPr>
        <w:t>．时间安排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学生参加勤工助学不应当影响学业，原则上每周不超过</w:t>
      </w:r>
      <w:r>
        <w:rPr>
          <w:rFonts w:hint="eastAsia" w:ascii="微软雅黑" w:hAnsi="微软雅黑" w:eastAsia="微软雅黑" w:cs="微软雅黑"/>
          <w:b w:val="0"/>
          <w:i w:val="0"/>
          <w:caps w:val="0"/>
          <w:color w:val="000000"/>
          <w:spacing w:val="0"/>
          <w:kern w:val="0"/>
          <w:sz w:val="28"/>
          <w:szCs w:val="28"/>
          <w:lang w:val="en-US" w:eastAsia="zh-CN" w:bidi="ar"/>
        </w:rPr>
        <w:t>8</w:t>
      </w:r>
      <w:r>
        <w:rPr>
          <w:rFonts w:hint="eastAsia" w:ascii="仿宋_GB2312" w:hAnsi="微软雅黑" w:eastAsia="仿宋_GB2312" w:cs="仿宋_GB2312"/>
          <w:b w:val="0"/>
          <w:i w:val="0"/>
          <w:caps w:val="0"/>
          <w:color w:val="000000"/>
          <w:spacing w:val="0"/>
          <w:kern w:val="0"/>
          <w:sz w:val="28"/>
          <w:szCs w:val="28"/>
          <w:lang w:val="en-US" w:eastAsia="zh-CN" w:bidi="ar"/>
        </w:rPr>
        <w:t>小时，每月不超过</w:t>
      </w:r>
      <w:r>
        <w:rPr>
          <w:rFonts w:hint="eastAsia" w:ascii="微软雅黑" w:hAnsi="微软雅黑" w:eastAsia="微软雅黑" w:cs="微软雅黑"/>
          <w:b w:val="0"/>
          <w:i w:val="0"/>
          <w:caps w:val="0"/>
          <w:color w:val="000000"/>
          <w:spacing w:val="0"/>
          <w:kern w:val="0"/>
          <w:sz w:val="28"/>
          <w:szCs w:val="28"/>
          <w:lang w:val="en-US" w:eastAsia="zh-CN" w:bidi="ar"/>
        </w:rPr>
        <w:t>40</w:t>
      </w:r>
      <w:r>
        <w:rPr>
          <w:rFonts w:hint="eastAsia" w:ascii="仿宋_GB2312" w:hAnsi="微软雅黑" w:eastAsia="仿宋_GB2312" w:cs="仿宋_GB2312"/>
          <w:b w:val="0"/>
          <w:i w:val="0"/>
          <w:caps w:val="0"/>
          <w:color w:val="000000"/>
          <w:spacing w:val="0"/>
          <w:kern w:val="0"/>
          <w:sz w:val="28"/>
          <w:szCs w:val="28"/>
          <w:lang w:val="en-US" w:eastAsia="zh-CN" w:bidi="ar"/>
        </w:rPr>
        <w:t>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3</w:t>
      </w:r>
      <w:r>
        <w:rPr>
          <w:rFonts w:hint="eastAsia" w:ascii="仿宋_GB2312" w:hAnsi="微软雅黑" w:eastAsia="仿宋_GB2312" w:cs="仿宋_GB2312"/>
          <w:b/>
          <w:i w:val="0"/>
          <w:caps w:val="0"/>
          <w:color w:val="000000"/>
          <w:spacing w:val="0"/>
          <w:kern w:val="0"/>
          <w:sz w:val="28"/>
          <w:szCs w:val="28"/>
          <w:lang w:val="en-US" w:eastAsia="zh-CN" w:bidi="ar"/>
        </w:rPr>
        <w:t>．劳动报酬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56"/>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学生参加校内固定岗位的勤工助学，其劳动报酬由学校按月计算。每月</w:t>
      </w:r>
      <w:r>
        <w:rPr>
          <w:rFonts w:hint="eastAsia" w:ascii="微软雅黑" w:hAnsi="微软雅黑" w:eastAsia="微软雅黑" w:cs="微软雅黑"/>
          <w:b w:val="0"/>
          <w:i w:val="0"/>
          <w:caps w:val="0"/>
          <w:color w:val="000000"/>
          <w:spacing w:val="0"/>
          <w:kern w:val="0"/>
          <w:sz w:val="28"/>
          <w:szCs w:val="28"/>
          <w:lang w:val="en-US" w:eastAsia="zh-CN" w:bidi="ar"/>
        </w:rPr>
        <w:t>40</w:t>
      </w:r>
      <w:r>
        <w:rPr>
          <w:rFonts w:hint="eastAsia" w:ascii="仿宋_GB2312" w:hAnsi="微软雅黑" w:eastAsia="仿宋_GB2312" w:cs="仿宋_GB2312"/>
          <w:b w:val="0"/>
          <w:i w:val="0"/>
          <w:caps w:val="0"/>
          <w:color w:val="000000"/>
          <w:spacing w:val="0"/>
          <w:kern w:val="0"/>
          <w:sz w:val="28"/>
          <w:szCs w:val="28"/>
          <w:lang w:val="en-US" w:eastAsia="zh-CN" w:bidi="ar"/>
        </w:rPr>
        <w:t>个工时的酬金原则上不低于当地政府或有关部门制定的最低工资标准或居民最低生活保障标准，可以适当上下浮动。学生参加校内临时岗位的勤工助学，其劳动报酬由学校按小时计算。每小时酬金原则上不低于</w:t>
      </w:r>
      <w:r>
        <w:rPr>
          <w:rFonts w:hint="eastAsia" w:ascii="微软雅黑" w:hAnsi="微软雅黑" w:eastAsia="微软雅黑" w:cs="微软雅黑"/>
          <w:b w:val="0"/>
          <w:i w:val="0"/>
          <w:caps w:val="0"/>
          <w:color w:val="000000"/>
          <w:spacing w:val="0"/>
          <w:kern w:val="0"/>
          <w:sz w:val="28"/>
          <w:szCs w:val="28"/>
          <w:lang w:val="en-US" w:eastAsia="zh-CN" w:bidi="ar"/>
        </w:rPr>
        <w:t>8</w:t>
      </w:r>
      <w:r>
        <w:rPr>
          <w:rFonts w:hint="eastAsia" w:ascii="仿宋_GB2312" w:hAnsi="微软雅黑" w:eastAsia="仿宋_GB2312" w:cs="仿宋_GB2312"/>
          <w:b w:val="0"/>
          <w:i w:val="0"/>
          <w:caps w:val="0"/>
          <w:color w:val="000000"/>
          <w:spacing w:val="0"/>
          <w:kern w:val="0"/>
          <w:sz w:val="28"/>
          <w:szCs w:val="28"/>
          <w:lang w:val="en-US" w:eastAsia="zh-CN" w:bidi="ar"/>
        </w:rPr>
        <w:t>元人民币。学生参加校外勤工助学的酬金标准不低于学校所在地政府或有关部门规定的最低工资标准，具体数额由用人单位、学校与学生协商确定，并写进聘用协议。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4</w:t>
      </w:r>
      <w:r>
        <w:rPr>
          <w:rFonts w:hint="eastAsia" w:ascii="仿宋_GB2312" w:hAnsi="微软雅黑" w:eastAsia="仿宋_GB2312" w:cs="仿宋_GB2312"/>
          <w:b/>
          <w:i w:val="0"/>
          <w:caps w:val="0"/>
          <w:color w:val="000000"/>
          <w:spacing w:val="0"/>
          <w:kern w:val="0"/>
          <w:sz w:val="28"/>
          <w:szCs w:val="28"/>
          <w:lang w:val="en-US" w:eastAsia="zh-CN" w:bidi="ar"/>
        </w:rPr>
        <w:t>．权益保护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学生在开始勤工助学活动前应当与有关单位签订协议，保护自身的合法权益。学生在进行校内勤工助学前，应当与学校的学生勤工助学管理服务组织签订具有法律效力的协议书。学生在进行校外勤工助学前，应当与代表学校的学生勤工助学管理服务组织、用人单位签订具有法律效力的三方协议书。协议书应当明确学校、用人单位和学生三方的权利和义务，意外伤害事故的处理办法以及争议解决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（十四）学费减免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国家对公办全日制普通高校中家庭经济特别困难、无法缴纳学费的学生，特别是其中的孤残学生、少数民族学生及烈士子女、优抚家庭子女等，实行减免学费政策。具体减免办法由学校制订。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（十五）校内资助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rFonts w:hint="eastAsia" w:ascii="微软雅黑" w:hAnsi="微软雅黑" w:eastAsia="微软雅黑" w:cs="微软雅黑"/>
          <w:b w:val="0"/>
          <w:i w:val="0"/>
          <w:caps w:val="0"/>
          <w:color w:val="444444"/>
          <w:spacing w:val="0"/>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各高校利用自有资金、社会组织和个人捐赠资金等，设立奖学金、助学金；对发生临时困难的学生发放特殊困难补助等。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3"/>
        <w:jc w:val="left"/>
        <w:rPr>
          <w:rFonts w:hint="eastAsia" w:ascii="微软雅黑" w:hAnsi="微软雅黑" w:eastAsia="微软雅黑" w:cs="微软雅黑"/>
          <w:b w:val="0"/>
          <w:i w:val="0"/>
          <w:caps w:val="0"/>
          <w:color w:val="444444"/>
          <w:spacing w:val="0"/>
          <w:sz w:val="28"/>
          <w:szCs w:val="28"/>
        </w:rPr>
      </w:pPr>
      <w:r>
        <w:rPr>
          <w:rFonts w:hint="eastAsia" w:ascii="楷体_GB2312" w:hAnsi="微软雅黑" w:eastAsia="楷体_GB2312" w:cs="楷体_GB2312"/>
          <w:b/>
          <w:i w:val="0"/>
          <w:caps w:val="0"/>
          <w:color w:val="000000"/>
          <w:spacing w:val="0"/>
          <w:kern w:val="0"/>
          <w:sz w:val="28"/>
          <w:szCs w:val="28"/>
          <w:lang w:val="en-US" w:eastAsia="zh-CN" w:bidi="ar"/>
        </w:rPr>
        <w:t>（十六）“雨露计划”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firstLine="640"/>
        <w:jc w:val="left"/>
        <w:rPr>
          <w:sz w:val="28"/>
          <w:szCs w:val="28"/>
        </w:rPr>
      </w:pPr>
      <w:r>
        <w:rPr>
          <w:rFonts w:hint="eastAsia" w:ascii="仿宋_GB2312" w:hAnsi="微软雅黑" w:eastAsia="仿宋_GB2312" w:cs="仿宋_GB2312"/>
          <w:b w:val="0"/>
          <w:i w:val="0"/>
          <w:caps w:val="0"/>
          <w:color w:val="000000"/>
          <w:spacing w:val="0"/>
          <w:kern w:val="0"/>
          <w:sz w:val="28"/>
          <w:szCs w:val="28"/>
          <w:lang w:val="en-US" w:eastAsia="zh-CN" w:bidi="ar"/>
        </w:rPr>
        <w:t>根据《河南省教育脱贫专项方案》（豫政办〔</w:t>
      </w:r>
      <w:r>
        <w:rPr>
          <w:rFonts w:hint="eastAsia" w:ascii="微软雅黑" w:hAnsi="微软雅黑" w:eastAsia="微软雅黑" w:cs="微软雅黑"/>
          <w:b w:val="0"/>
          <w:i w:val="0"/>
          <w:caps w:val="0"/>
          <w:color w:val="000000"/>
          <w:spacing w:val="0"/>
          <w:kern w:val="0"/>
          <w:sz w:val="28"/>
          <w:szCs w:val="28"/>
          <w:lang w:val="en-US" w:eastAsia="zh-CN" w:bidi="ar"/>
        </w:rPr>
        <w:t>2016</w:t>
      </w:r>
      <w:r>
        <w:rPr>
          <w:rFonts w:hint="eastAsia" w:ascii="仿宋_GB2312" w:hAnsi="微软雅黑" w:eastAsia="仿宋_GB2312" w:cs="仿宋_GB2312"/>
          <w:b w:val="0"/>
          <w:i w:val="0"/>
          <w:caps w:val="0"/>
          <w:color w:val="000000"/>
          <w:spacing w:val="0"/>
          <w:kern w:val="0"/>
          <w:sz w:val="28"/>
          <w:szCs w:val="28"/>
          <w:lang w:val="en-US" w:eastAsia="zh-CN" w:bidi="ar"/>
        </w:rPr>
        <w:t>〕</w:t>
      </w:r>
      <w:r>
        <w:rPr>
          <w:rFonts w:hint="eastAsia" w:ascii="微软雅黑" w:hAnsi="微软雅黑" w:eastAsia="微软雅黑" w:cs="微软雅黑"/>
          <w:b w:val="0"/>
          <w:i w:val="0"/>
          <w:caps w:val="0"/>
          <w:color w:val="000000"/>
          <w:spacing w:val="0"/>
          <w:kern w:val="0"/>
          <w:sz w:val="28"/>
          <w:szCs w:val="28"/>
          <w:lang w:val="en-US" w:eastAsia="zh-CN" w:bidi="ar"/>
        </w:rPr>
        <w:t>120</w:t>
      </w:r>
      <w:r>
        <w:rPr>
          <w:rFonts w:hint="eastAsia" w:ascii="仿宋_GB2312" w:hAnsi="微软雅黑" w:eastAsia="仿宋_GB2312" w:cs="仿宋_GB2312"/>
          <w:b w:val="0"/>
          <w:i w:val="0"/>
          <w:caps w:val="0"/>
          <w:color w:val="000000"/>
          <w:spacing w:val="0"/>
          <w:kern w:val="0"/>
          <w:sz w:val="28"/>
          <w:szCs w:val="28"/>
          <w:lang w:val="en-US" w:eastAsia="zh-CN" w:bidi="ar"/>
        </w:rPr>
        <w:t>号）规定，从</w:t>
      </w:r>
      <w:r>
        <w:rPr>
          <w:rFonts w:hint="eastAsia" w:ascii="微软雅黑" w:hAnsi="微软雅黑" w:eastAsia="微软雅黑" w:cs="微软雅黑"/>
          <w:b w:val="0"/>
          <w:i w:val="0"/>
          <w:caps w:val="0"/>
          <w:color w:val="000000"/>
          <w:spacing w:val="0"/>
          <w:kern w:val="0"/>
          <w:sz w:val="28"/>
          <w:szCs w:val="28"/>
          <w:lang w:val="en-US" w:eastAsia="zh-CN" w:bidi="ar"/>
        </w:rPr>
        <w:t>2016</w:t>
      </w:r>
      <w:r>
        <w:rPr>
          <w:rFonts w:hint="eastAsia" w:ascii="仿宋_GB2312" w:hAnsi="微软雅黑" w:eastAsia="仿宋_GB2312" w:cs="仿宋_GB2312"/>
          <w:b w:val="0"/>
          <w:i w:val="0"/>
          <w:caps w:val="0"/>
          <w:color w:val="000000"/>
          <w:spacing w:val="0"/>
          <w:kern w:val="0"/>
          <w:sz w:val="28"/>
          <w:szCs w:val="28"/>
          <w:lang w:val="en-US" w:eastAsia="zh-CN" w:bidi="ar"/>
        </w:rPr>
        <w:t>年秋季学期开始，对在我省就读的建档立卡贫困家庭专科学生，按照每生每年</w:t>
      </w:r>
      <w:r>
        <w:rPr>
          <w:rFonts w:hint="eastAsia" w:ascii="微软雅黑" w:hAnsi="微软雅黑" w:eastAsia="微软雅黑" w:cs="微软雅黑"/>
          <w:b w:val="0"/>
          <w:i w:val="0"/>
          <w:caps w:val="0"/>
          <w:color w:val="000000"/>
          <w:spacing w:val="0"/>
          <w:kern w:val="0"/>
          <w:sz w:val="28"/>
          <w:szCs w:val="28"/>
          <w:lang w:val="en-US" w:eastAsia="zh-CN" w:bidi="ar"/>
        </w:rPr>
        <w:t>2000</w:t>
      </w:r>
      <w:r>
        <w:rPr>
          <w:rFonts w:hint="eastAsia" w:ascii="仿宋_GB2312" w:hAnsi="微软雅黑" w:eastAsia="仿宋_GB2312" w:cs="仿宋_GB2312"/>
          <w:b w:val="0"/>
          <w:i w:val="0"/>
          <w:caps w:val="0"/>
          <w:color w:val="000000"/>
          <w:spacing w:val="0"/>
          <w:kern w:val="0"/>
          <w:sz w:val="28"/>
          <w:szCs w:val="28"/>
          <w:lang w:val="en-US" w:eastAsia="zh-CN" w:bidi="ar"/>
        </w:rPr>
        <w:t>元的标准发放“雨露计划”扶贫助学补助。</w:t>
      </w:r>
      <w:r>
        <w:rPr>
          <w:rFonts w:hint="eastAsia" w:ascii="仿宋_GB2312" w:hAnsi="微软雅黑" w:eastAsia="仿宋_GB2312" w:cs="仿宋_GB2312"/>
          <w:b w:val="0"/>
          <w:i w:val="0"/>
          <w:caps w:val="0"/>
          <w:color w:val="FF0000"/>
          <w:spacing w:val="0"/>
          <w:kern w:val="0"/>
          <w:sz w:val="28"/>
          <w:szCs w:val="28"/>
          <w:lang w:val="en-US" w:eastAsia="zh-CN" w:bidi="ar"/>
        </w:rPr>
        <w:t>该项资助由学生按照相关规定向户籍地扶贫部门申请。</w:t>
      </w:r>
    </w:p>
    <w:sectPr>
      <w:pgSz w:w="11906" w:h="16838"/>
      <w:pgMar w:top="1985" w:right="1644" w:bottom="1928" w:left="1588" w:header="0" w:footer="1588" w:gutter="0"/>
      <w:cols w:space="425" w:num="1"/>
      <w:docGrid w:type="linesAndChars" w:linePitch="5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25033"/>
      <w:docPartObj>
        <w:docPartGallery w:val="autotext"/>
      </w:docPartObj>
    </w:sdtPr>
    <w:sdtEndPr>
      <w:rPr>
        <w:sz w:val="28"/>
        <w:szCs w:val="28"/>
      </w:rPr>
    </w:sdtEndPr>
    <w:sdtContent>
      <w:p>
        <w:pPr>
          <w:pStyle w:val="5"/>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r>
          <w:rPr>
            <w:rFonts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978398"/>
      <w:docPartObj>
        <w:docPartGallery w:val="autotext"/>
      </w:docPartObj>
    </w:sdtPr>
    <w:sdtEndPr>
      <w:rPr>
        <w:sz w:val="28"/>
        <w:szCs w:val="28"/>
      </w:rPr>
    </w:sdtEndPr>
    <w:sdtContent>
      <w:p>
        <w:pPr>
          <w:pStyle w:val="5"/>
          <w:ind w:firstLine="360" w:firstLineChars="2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r>
          <w:rPr>
            <w:rFonts w:hint="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evenAndOddHeaders w:val="1"/>
  <w:drawingGridHorizontalSpacing w:val="150"/>
  <w:drawingGridVerticalSpacing w:val="5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2"/>
    <w:rsid w:val="000013D4"/>
    <w:rsid w:val="00005854"/>
    <w:rsid w:val="0001207A"/>
    <w:rsid w:val="0001642E"/>
    <w:rsid w:val="00016CC3"/>
    <w:rsid w:val="000219BA"/>
    <w:rsid w:val="000219F5"/>
    <w:rsid w:val="00026B85"/>
    <w:rsid w:val="00026FEE"/>
    <w:rsid w:val="00027C8F"/>
    <w:rsid w:val="000308AF"/>
    <w:rsid w:val="00030A68"/>
    <w:rsid w:val="00032150"/>
    <w:rsid w:val="00050EF9"/>
    <w:rsid w:val="00051EF0"/>
    <w:rsid w:val="000522CF"/>
    <w:rsid w:val="00054244"/>
    <w:rsid w:val="0005528C"/>
    <w:rsid w:val="0005685C"/>
    <w:rsid w:val="000605C2"/>
    <w:rsid w:val="000707C1"/>
    <w:rsid w:val="0007603A"/>
    <w:rsid w:val="000765F9"/>
    <w:rsid w:val="0008473D"/>
    <w:rsid w:val="00084CDC"/>
    <w:rsid w:val="00095C2C"/>
    <w:rsid w:val="000A238D"/>
    <w:rsid w:val="000A66BA"/>
    <w:rsid w:val="000B0381"/>
    <w:rsid w:val="000B0659"/>
    <w:rsid w:val="000B0DE0"/>
    <w:rsid w:val="000B1C83"/>
    <w:rsid w:val="000C5D3B"/>
    <w:rsid w:val="000D53CF"/>
    <w:rsid w:val="000D6088"/>
    <w:rsid w:val="000E0628"/>
    <w:rsid w:val="000F47F1"/>
    <w:rsid w:val="000F54AA"/>
    <w:rsid w:val="000F564A"/>
    <w:rsid w:val="000F68F6"/>
    <w:rsid w:val="000F7244"/>
    <w:rsid w:val="00100057"/>
    <w:rsid w:val="001028BB"/>
    <w:rsid w:val="001042C7"/>
    <w:rsid w:val="0010435F"/>
    <w:rsid w:val="00106715"/>
    <w:rsid w:val="00107691"/>
    <w:rsid w:val="0011362E"/>
    <w:rsid w:val="00130C3D"/>
    <w:rsid w:val="00143BA5"/>
    <w:rsid w:val="00154E90"/>
    <w:rsid w:val="00161C67"/>
    <w:rsid w:val="001630B7"/>
    <w:rsid w:val="0016333A"/>
    <w:rsid w:val="001667AE"/>
    <w:rsid w:val="0017066A"/>
    <w:rsid w:val="00172716"/>
    <w:rsid w:val="00181BE7"/>
    <w:rsid w:val="00184119"/>
    <w:rsid w:val="001866E8"/>
    <w:rsid w:val="00192AB9"/>
    <w:rsid w:val="00194EAB"/>
    <w:rsid w:val="001950B4"/>
    <w:rsid w:val="00196C57"/>
    <w:rsid w:val="001A33C8"/>
    <w:rsid w:val="001A53D9"/>
    <w:rsid w:val="001A68EB"/>
    <w:rsid w:val="001B25C6"/>
    <w:rsid w:val="001B45CC"/>
    <w:rsid w:val="001B6EF5"/>
    <w:rsid w:val="001C3687"/>
    <w:rsid w:val="001C4179"/>
    <w:rsid w:val="001C4F23"/>
    <w:rsid w:val="001C7051"/>
    <w:rsid w:val="001D29D3"/>
    <w:rsid w:val="001D2A6C"/>
    <w:rsid w:val="001D42D6"/>
    <w:rsid w:val="001E0FDB"/>
    <w:rsid w:val="001E1FEE"/>
    <w:rsid w:val="001E206A"/>
    <w:rsid w:val="001E56A4"/>
    <w:rsid w:val="001F00AF"/>
    <w:rsid w:val="001F344B"/>
    <w:rsid w:val="00202304"/>
    <w:rsid w:val="00202976"/>
    <w:rsid w:val="002046D5"/>
    <w:rsid w:val="00204AFC"/>
    <w:rsid w:val="0020592B"/>
    <w:rsid w:val="00221DC4"/>
    <w:rsid w:val="00223298"/>
    <w:rsid w:val="002268DF"/>
    <w:rsid w:val="00246456"/>
    <w:rsid w:val="00252221"/>
    <w:rsid w:val="002607B2"/>
    <w:rsid w:val="00260FF4"/>
    <w:rsid w:val="0027069D"/>
    <w:rsid w:val="002751CA"/>
    <w:rsid w:val="00276372"/>
    <w:rsid w:val="00281289"/>
    <w:rsid w:val="00283B31"/>
    <w:rsid w:val="00295627"/>
    <w:rsid w:val="0029794F"/>
    <w:rsid w:val="002A5577"/>
    <w:rsid w:val="002B40B1"/>
    <w:rsid w:val="002C0BA4"/>
    <w:rsid w:val="002C3EA9"/>
    <w:rsid w:val="002D585A"/>
    <w:rsid w:val="002D623C"/>
    <w:rsid w:val="002D674F"/>
    <w:rsid w:val="002D6A75"/>
    <w:rsid w:val="002D7D6E"/>
    <w:rsid w:val="002E4DC6"/>
    <w:rsid w:val="002F26CE"/>
    <w:rsid w:val="002F40D2"/>
    <w:rsid w:val="0030163D"/>
    <w:rsid w:val="003021B0"/>
    <w:rsid w:val="00302E96"/>
    <w:rsid w:val="00305706"/>
    <w:rsid w:val="003145D4"/>
    <w:rsid w:val="00317B91"/>
    <w:rsid w:val="00320260"/>
    <w:rsid w:val="00324123"/>
    <w:rsid w:val="00326407"/>
    <w:rsid w:val="003310BA"/>
    <w:rsid w:val="00346D51"/>
    <w:rsid w:val="00360A0E"/>
    <w:rsid w:val="0036262D"/>
    <w:rsid w:val="0036798C"/>
    <w:rsid w:val="00381648"/>
    <w:rsid w:val="0038169A"/>
    <w:rsid w:val="00385B57"/>
    <w:rsid w:val="00386295"/>
    <w:rsid w:val="003873FF"/>
    <w:rsid w:val="003A18FB"/>
    <w:rsid w:val="003A6510"/>
    <w:rsid w:val="003B10A8"/>
    <w:rsid w:val="003B17D6"/>
    <w:rsid w:val="003B3A4F"/>
    <w:rsid w:val="003B479C"/>
    <w:rsid w:val="003B6986"/>
    <w:rsid w:val="003C3EF6"/>
    <w:rsid w:val="003C5C0B"/>
    <w:rsid w:val="003D6E11"/>
    <w:rsid w:val="003E4812"/>
    <w:rsid w:val="003E5626"/>
    <w:rsid w:val="003E58D7"/>
    <w:rsid w:val="003F2642"/>
    <w:rsid w:val="003F3171"/>
    <w:rsid w:val="00407F34"/>
    <w:rsid w:val="00411B3D"/>
    <w:rsid w:val="004120FC"/>
    <w:rsid w:val="00412ABF"/>
    <w:rsid w:val="00416B5B"/>
    <w:rsid w:val="0042102B"/>
    <w:rsid w:val="0042223F"/>
    <w:rsid w:val="004275B7"/>
    <w:rsid w:val="00427DFE"/>
    <w:rsid w:val="00431D9C"/>
    <w:rsid w:val="00434E3E"/>
    <w:rsid w:val="00453750"/>
    <w:rsid w:val="00453F7F"/>
    <w:rsid w:val="00461A13"/>
    <w:rsid w:val="004647CA"/>
    <w:rsid w:val="00466B67"/>
    <w:rsid w:val="00467296"/>
    <w:rsid w:val="004714DD"/>
    <w:rsid w:val="004776D3"/>
    <w:rsid w:val="00481F02"/>
    <w:rsid w:val="004A4915"/>
    <w:rsid w:val="004A51A9"/>
    <w:rsid w:val="004A574D"/>
    <w:rsid w:val="004A6D75"/>
    <w:rsid w:val="004A6FA0"/>
    <w:rsid w:val="004A7509"/>
    <w:rsid w:val="004B1FF9"/>
    <w:rsid w:val="004B3F41"/>
    <w:rsid w:val="004B46CA"/>
    <w:rsid w:val="004B4B2D"/>
    <w:rsid w:val="004B7D95"/>
    <w:rsid w:val="004C2B5E"/>
    <w:rsid w:val="004C4017"/>
    <w:rsid w:val="004C475E"/>
    <w:rsid w:val="004C589F"/>
    <w:rsid w:val="004D0185"/>
    <w:rsid w:val="004D1FB4"/>
    <w:rsid w:val="004D70CD"/>
    <w:rsid w:val="004E1560"/>
    <w:rsid w:val="00500D66"/>
    <w:rsid w:val="00504B58"/>
    <w:rsid w:val="00507D0E"/>
    <w:rsid w:val="00511C43"/>
    <w:rsid w:val="00516998"/>
    <w:rsid w:val="00516EA2"/>
    <w:rsid w:val="00517DEF"/>
    <w:rsid w:val="00522144"/>
    <w:rsid w:val="0052271A"/>
    <w:rsid w:val="00522747"/>
    <w:rsid w:val="005234DF"/>
    <w:rsid w:val="00531109"/>
    <w:rsid w:val="00532259"/>
    <w:rsid w:val="0054580C"/>
    <w:rsid w:val="00547413"/>
    <w:rsid w:val="00564714"/>
    <w:rsid w:val="00564F04"/>
    <w:rsid w:val="005672B3"/>
    <w:rsid w:val="005759D4"/>
    <w:rsid w:val="00581887"/>
    <w:rsid w:val="005838DB"/>
    <w:rsid w:val="005877DD"/>
    <w:rsid w:val="005909D6"/>
    <w:rsid w:val="00592C2B"/>
    <w:rsid w:val="005965CF"/>
    <w:rsid w:val="005970A4"/>
    <w:rsid w:val="00597453"/>
    <w:rsid w:val="005A5BCF"/>
    <w:rsid w:val="005B5A9E"/>
    <w:rsid w:val="005B6462"/>
    <w:rsid w:val="005C02C3"/>
    <w:rsid w:val="005C1CDE"/>
    <w:rsid w:val="005C2E99"/>
    <w:rsid w:val="005C7C4A"/>
    <w:rsid w:val="005F4986"/>
    <w:rsid w:val="0060393E"/>
    <w:rsid w:val="00606070"/>
    <w:rsid w:val="00612EEB"/>
    <w:rsid w:val="00615532"/>
    <w:rsid w:val="00624BC1"/>
    <w:rsid w:val="00627015"/>
    <w:rsid w:val="00627A96"/>
    <w:rsid w:val="00631518"/>
    <w:rsid w:val="0064005C"/>
    <w:rsid w:val="00643D0A"/>
    <w:rsid w:val="00653221"/>
    <w:rsid w:val="00656537"/>
    <w:rsid w:val="006568F9"/>
    <w:rsid w:val="006573CF"/>
    <w:rsid w:val="00660EAC"/>
    <w:rsid w:val="00664ABC"/>
    <w:rsid w:val="00664B60"/>
    <w:rsid w:val="006678BD"/>
    <w:rsid w:val="00675D2E"/>
    <w:rsid w:val="00680432"/>
    <w:rsid w:val="00682356"/>
    <w:rsid w:val="00684615"/>
    <w:rsid w:val="006A1134"/>
    <w:rsid w:val="006A5884"/>
    <w:rsid w:val="006B5DED"/>
    <w:rsid w:val="006C0D3A"/>
    <w:rsid w:val="006C1789"/>
    <w:rsid w:val="006C19D2"/>
    <w:rsid w:val="006C3463"/>
    <w:rsid w:val="006C3C3B"/>
    <w:rsid w:val="006C4F61"/>
    <w:rsid w:val="006D256D"/>
    <w:rsid w:val="006D2CD7"/>
    <w:rsid w:val="006D33DF"/>
    <w:rsid w:val="006D34BC"/>
    <w:rsid w:val="006D4E94"/>
    <w:rsid w:val="006E268F"/>
    <w:rsid w:val="006E5611"/>
    <w:rsid w:val="006F0DFB"/>
    <w:rsid w:val="006F1BA0"/>
    <w:rsid w:val="006F27DA"/>
    <w:rsid w:val="006F508D"/>
    <w:rsid w:val="00707E5D"/>
    <w:rsid w:val="007114AB"/>
    <w:rsid w:val="0071365F"/>
    <w:rsid w:val="00716864"/>
    <w:rsid w:val="0072235C"/>
    <w:rsid w:val="007315E7"/>
    <w:rsid w:val="00732634"/>
    <w:rsid w:val="00733319"/>
    <w:rsid w:val="00735491"/>
    <w:rsid w:val="007354FF"/>
    <w:rsid w:val="00737378"/>
    <w:rsid w:val="007427E3"/>
    <w:rsid w:val="00744E61"/>
    <w:rsid w:val="00746217"/>
    <w:rsid w:val="0074697A"/>
    <w:rsid w:val="00746EFE"/>
    <w:rsid w:val="00747477"/>
    <w:rsid w:val="00752CDE"/>
    <w:rsid w:val="00754C31"/>
    <w:rsid w:val="007662EA"/>
    <w:rsid w:val="0077771F"/>
    <w:rsid w:val="007919E9"/>
    <w:rsid w:val="00796140"/>
    <w:rsid w:val="007A060B"/>
    <w:rsid w:val="007A110D"/>
    <w:rsid w:val="007A5B94"/>
    <w:rsid w:val="007A7AB7"/>
    <w:rsid w:val="007C7300"/>
    <w:rsid w:val="007D532C"/>
    <w:rsid w:val="007F55E8"/>
    <w:rsid w:val="007F5783"/>
    <w:rsid w:val="007F7822"/>
    <w:rsid w:val="00811707"/>
    <w:rsid w:val="00814F6A"/>
    <w:rsid w:val="008155F7"/>
    <w:rsid w:val="00817A21"/>
    <w:rsid w:val="00817A5C"/>
    <w:rsid w:val="00822020"/>
    <w:rsid w:val="008251BE"/>
    <w:rsid w:val="00826F22"/>
    <w:rsid w:val="008346EF"/>
    <w:rsid w:val="0084184C"/>
    <w:rsid w:val="00843DF1"/>
    <w:rsid w:val="00845B1D"/>
    <w:rsid w:val="00846894"/>
    <w:rsid w:val="00847169"/>
    <w:rsid w:val="00854EB1"/>
    <w:rsid w:val="008558CA"/>
    <w:rsid w:val="008562CF"/>
    <w:rsid w:val="0086393F"/>
    <w:rsid w:val="00870B42"/>
    <w:rsid w:val="00876EE2"/>
    <w:rsid w:val="00880E7B"/>
    <w:rsid w:val="00881F2F"/>
    <w:rsid w:val="00886526"/>
    <w:rsid w:val="00887017"/>
    <w:rsid w:val="008913E8"/>
    <w:rsid w:val="00891758"/>
    <w:rsid w:val="00892200"/>
    <w:rsid w:val="0089510B"/>
    <w:rsid w:val="008A2181"/>
    <w:rsid w:val="008B2BF7"/>
    <w:rsid w:val="008B49E6"/>
    <w:rsid w:val="008B61CF"/>
    <w:rsid w:val="008C0FF1"/>
    <w:rsid w:val="008D2311"/>
    <w:rsid w:val="008F02C0"/>
    <w:rsid w:val="008F19F2"/>
    <w:rsid w:val="008F2084"/>
    <w:rsid w:val="008F20DE"/>
    <w:rsid w:val="008F5FF3"/>
    <w:rsid w:val="00904D31"/>
    <w:rsid w:val="00905E8E"/>
    <w:rsid w:val="00910768"/>
    <w:rsid w:val="00912075"/>
    <w:rsid w:val="0091449D"/>
    <w:rsid w:val="009218D7"/>
    <w:rsid w:val="00921EC2"/>
    <w:rsid w:val="00925FAE"/>
    <w:rsid w:val="00934A98"/>
    <w:rsid w:val="00934F96"/>
    <w:rsid w:val="00935287"/>
    <w:rsid w:val="00935655"/>
    <w:rsid w:val="00950EA1"/>
    <w:rsid w:val="00953793"/>
    <w:rsid w:val="00953AA5"/>
    <w:rsid w:val="00954FDF"/>
    <w:rsid w:val="0095589B"/>
    <w:rsid w:val="00980629"/>
    <w:rsid w:val="0098072E"/>
    <w:rsid w:val="00981A3A"/>
    <w:rsid w:val="00983F72"/>
    <w:rsid w:val="00983F7F"/>
    <w:rsid w:val="00985E6E"/>
    <w:rsid w:val="0099176E"/>
    <w:rsid w:val="00994650"/>
    <w:rsid w:val="009B4E02"/>
    <w:rsid w:val="009C0241"/>
    <w:rsid w:val="009C1DBB"/>
    <w:rsid w:val="009C4C2C"/>
    <w:rsid w:val="009C5DD6"/>
    <w:rsid w:val="009C7B1E"/>
    <w:rsid w:val="009C7F91"/>
    <w:rsid w:val="009D0E4A"/>
    <w:rsid w:val="009D4269"/>
    <w:rsid w:val="009D58AC"/>
    <w:rsid w:val="009E5059"/>
    <w:rsid w:val="009E7C5A"/>
    <w:rsid w:val="009F4922"/>
    <w:rsid w:val="009F7342"/>
    <w:rsid w:val="00A06C8F"/>
    <w:rsid w:val="00A2390E"/>
    <w:rsid w:val="00A259F6"/>
    <w:rsid w:val="00A269EF"/>
    <w:rsid w:val="00A26A43"/>
    <w:rsid w:val="00A2707E"/>
    <w:rsid w:val="00A31591"/>
    <w:rsid w:val="00A336B1"/>
    <w:rsid w:val="00A4179B"/>
    <w:rsid w:val="00A43174"/>
    <w:rsid w:val="00A44B1A"/>
    <w:rsid w:val="00A50087"/>
    <w:rsid w:val="00A544AE"/>
    <w:rsid w:val="00A6726F"/>
    <w:rsid w:val="00A67B32"/>
    <w:rsid w:val="00A7409A"/>
    <w:rsid w:val="00A75FAB"/>
    <w:rsid w:val="00A808E5"/>
    <w:rsid w:val="00A8163C"/>
    <w:rsid w:val="00A917DA"/>
    <w:rsid w:val="00A92661"/>
    <w:rsid w:val="00A95213"/>
    <w:rsid w:val="00A96708"/>
    <w:rsid w:val="00A9715B"/>
    <w:rsid w:val="00AA1268"/>
    <w:rsid w:val="00AA5C3A"/>
    <w:rsid w:val="00AC017E"/>
    <w:rsid w:val="00AC1B92"/>
    <w:rsid w:val="00AC313F"/>
    <w:rsid w:val="00AD0ABF"/>
    <w:rsid w:val="00AE0B7B"/>
    <w:rsid w:val="00AE18BD"/>
    <w:rsid w:val="00AE444A"/>
    <w:rsid w:val="00B00972"/>
    <w:rsid w:val="00B012A1"/>
    <w:rsid w:val="00B052E1"/>
    <w:rsid w:val="00B113B3"/>
    <w:rsid w:val="00B138E8"/>
    <w:rsid w:val="00B30664"/>
    <w:rsid w:val="00B32755"/>
    <w:rsid w:val="00B332D5"/>
    <w:rsid w:val="00B34D43"/>
    <w:rsid w:val="00B34F51"/>
    <w:rsid w:val="00B4090A"/>
    <w:rsid w:val="00B42F7A"/>
    <w:rsid w:val="00B4375D"/>
    <w:rsid w:val="00B47296"/>
    <w:rsid w:val="00B55917"/>
    <w:rsid w:val="00B562D3"/>
    <w:rsid w:val="00B5757D"/>
    <w:rsid w:val="00B66051"/>
    <w:rsid w:val="00B72AC5"/>
    <w:rsid w:val="00B75263"/>
    <w:rsid w:val="00B80538"/>
    <w:rsid w:val="00B83954"/>
    <w:rsid w:val="00B94878"/>
    <w:rsid w:val="00BA2190"/>
    <w:rsid w:val="00BB420D"/>
    <w:rsid w:val="00BB5533"/>
    <w:rsid w:val="00BB7140"/>
    <w:rsid w:val="00BC0CA7"/>
    <w:rsid w:val="00BC1EF2"/>
    <w:rsid w:val="00BC25A8"/>
    <w:rsid w:val="00BC26C0"/>
    <w:rsid w:val="00BC5CEA"/>
    <w:rsid w:val="00BC6391"/>
    <w:rsid w:val="00BC6922"/>
    <w:rsid w:val="00BD015C"/>
    <w:rsid w:val="00BD17CB"/>
    <w:rsid w:val="00BD3319"/>
    <w:rsid w:val="00BD33C3"/>
    <w:rsid w:val="00BD36E8"/>
    <w:rsid w:val="00BD4DA8"/>
    <w:rsid w:val="00BE0435"/>
    <w:rsid w:val="00BE0F63"/>
    <w:rsid w:val="00BE26B3"/>
    <w:rsid w:val="00BE4EBB"/>
    <w:rsid w:val="00BF1579"/>
    <w:rsid w:val="00BF69E5"/>
    <w:rsid w:val="00BF77FB"/>
    <w:rsid w:val="00C04151"/>
    <w:rsid w:val="00C104F9"/>
    <w:rsid w:val="00C16794"/>
    <w:rsid w:val="00C20956"/>
    <w:rsid w:val="00C21020"/>
    <w:rsid w:val="00C24343"/>
    <w:rsid w:val="00C25B5E"/>
    <w:rsid w:val="00C25F87"/>
    <w:rsid w:val="00C301A4"/>
    <w:rsid w:val="00C32AD6"/>
    <w:rsid w:val="00C40C36"/>
    <w:rsid w:val="00C4139C"/>
    <w:rsid w:val="00C446EA"/>
    <w:rsid w:val="00C54EC6"/>
    <w:rsid w:val="00C62942"/>
    <w:rsid w:val="00C642E2"/>
    <w:rsid w:val="00C66318"/>
    <w:rsid w:val="00C72B20"/>
    <w:rsid w:val="00C74050"/>
    <w:rsid w:val="00C75228"/>
    <w:rsid w:val="00C807E2"/>
    <w:rsid w:val="00C84302"/>
    <w:rsid w:val="00C859AD"/>
    <w:rsid w:val="00C86137"/>
    <w:rsid w:val="00C931A4"/>
    <w:rsid w:val="00C931CA"/>
    <w:rsid w:val="00CA26F9"/>
    <w:rsid w:val="00CA58CA"/>
    <w:rsid w:val="00CA6CC8"/>
    <w:rsid w:val="00CB0718"/>
    <w:rsid w:val="00CB0879"/>
    <w:rsid w:val="00CB3648"/>
    <w:rsid w:val="00CC5E9A"/>
    <w:rsid w:val="00CD252B"/>
    <w:rsid w:val="00CD7F11"/>
    <w:rsid w:val="00CE2E43"/>
    <w:rsid w:val="00D10616"/>
    <w:rsid w:val="00D11405"/>
    <w:rsid w:val="00D124A7"/>
    <w:rsid w:val="00D203E7"/>
    <w:rsid w:val="00D2071C"/>
    <w:rsid w:val="00D20ACD"/>
    <w:rsid w:val="00D33646"/>
    <w:rsid w:val="00D35D91"/>
    <w:rsid w:val="00D36F34"/>
    <w:rsid w:val="00D420CC"/>
    <w:rsid w:val="00D445F6"/>
    <w:rsid w:val="00D47F0D"/>
    <w:rsid w:val="00D503CC"/>
    <w:rsid w:val="00D547B3"/>
    <w:rsid w:val="00D55362"/>
    <w:rsid w:val="00D6110C"/>
    <w:rsid w:val="00D61231"/>
    <w:rsid w:val="00D70F57"/>
    <w:rsid w:val="00D74E88"/>
    <w:rsid w:val="00D81F99"/>
    <w:rsid w:val="00D8226D"/>
    <w:rsid w:val="00D86742"/>
    <w:rsid w:val="00D8758B"/>
    <w:rsid w:val="00D93994"/>
    <w:rsid w:val="00D94BA3"/>
    <w:rsid w:val="00DA001F"/>
    <w:rsid w:val="00DA1408"/>
    <w:rsid w:val="00DA2C2A"/>
    <w:rsid w:val="00DA6415"/>
    <w:rsid w:val="00DB0724"/>
    <w:rsid w:val="00DB1A1E"/>
    <w:rsid w:val="00DB5649"/>
    <w:rsid w:val="00DC0805"/>
    <w:rsid w:val="00DC0FE1"/>
    <w:rsid w:val="00DC5CBA"/>
    <w:rsid w:val="00DD09BA"/>
    <w:rsid w:val="00DE0A91"/>
    <w:rsid w:val="00DE3CF6"/>
    <w:rsid w:val="00DE4EE4"/>
    <w:rsid w:val="00DE54A5"/>
    <w:rsid w:val="00DE5903"/>
    <w:rsid w:val="00DE7DD8"/>
    <w:rsid w:val="00E02F79"/>
    <w:rsid w:val="00E03D5F"/>
    <w:rsid w:val="00E06E32"/>
    <w:rsid w:val="00E07E16"/>
    <w:rsid w:val="00E13387"/>
    <w:rsid w:val="00E21669"/>
    <w:rsid w:val="00E239E4"/>
    <w:rsid w:val="00E2421F"/>
    <w:rsid w:val="00E3277E"/>
    <w:rsid w:val="00E327CA"/>
    <w:rsid w:val="00E349ED"/>
    <w:rsid w:val="00E37512"/>
    <w:rsid w:val="00E40547"/>
    <w:rsid w:val="00E43D89"/>
    <w:rsid w:val="00E43EB7"/>
    <w:rsid w:val="00E4580E"/>
    <w:rsid w:val="00E475FA"/>
    <w:rsid w:val="00E53BEF"/>
    <w:rsid w:val="00E740DE"/>
    <w:rsid w:val="00E80B78"/>
    <w:rsid w:val="00E80C8C"/>
    <w:rsid w:val="00E910B3"/>
    <w:rsid w:val="00E978C0"/>
    <w:rsid w:val="00EA2C77"/>
    <w:rsid w:val="00EA7558"/>
    <w:rsid w:val="00EB02A1"/>
    <w:rsid w:val="00EB0834"/>
    <w:rsid w:val="00EB1DE2"/>
    <w:rsid w:val="00EB234E"/>
    <w:rsid w:val="00EB6BAE"/>
    <w:rsid w:val="00EB7164"/>
    <w:rsid w:val="00EC164F"/>
    <w:rsid w:val="00EC46B7"/>
    <w:rsid w:val="00EE2330"/>
    <w:rsid w:val="00EE4B91"/>
    <w:rsid w:val="00EE72F8"/>
    <w:rsid w:val="00EF1196"/>
    <w:rsid w:val="00EF669B"/>
    <w:rsid w:val="00F11817"/>
    <w:rsid w:val="00F13647"/>
    <w:rsid w:val="00F2175C"/>
    <w:rsid w:val="00F3172A"/>
    <w:rsid w:val="00F444DC"/>
    <w:rsid w:val="00F44BA1"/>
    <w:rsid w:val="00F475BE"/>
    <w:rsid w:val="00F5121F"/>
    <w:rsid w:val="00F51EFB"/>
    <w:rsid w:val="00F52077"/>
    <w:rsid w:val="00F54549"/>
    <w:rsid w:val="00F54F68"/>
    <w:rsid w:val="00F66E7D"/>
    <w:rsid w:val="00F72376"/>
    <w:rsid w:val="00F74080"/>
    <w:rsid w:val="00F766BE"/>
    <w:rsid w:val="00F8478D"/>
    <w:rsid w:val="00FA262E"/>
    <w:rsid w:val="00FA2A30"/>
    <w:rsid w:val="00FA45A4"/>
    <w:rsid w:val="00FB0AD9"/>
    <w:rsid w:val="00FB1D4D"/>
    <w:rsid w:val="00FB1DE8"/>
    <w:rsid w:val="00FB219A"/>
    <w:rsid w:val="00FB4890"/>
    <w:rsid w:val="00FC22A3"/>
    <w:rsid w:val="00FC6445"/>
    <w:rsid w:val="00FD25E0"/>
    <w:rsid w:val="00FD264A"/>
    <w:rsid w:val="00FD6216"/>
    <w:rsid w:val="00FE4ECA"/>
    <w:rsid w:val="00FE6462"/>
    <w:rsid w:val="00FE6B1E"/>
    <w:rsid w:val="00FF1DFC"/>
    <w:rsid w:val="00FF23AE"/>
    <w:rsid w:val="00FF2CB7"/>
    <w:rsid w:val="00FF2F13"/>
    <w:rsid w:val="00FF437D"/>
    <w:rsid w:val="089B7AA6"/>
    <w:rsid w:val="1A713114"/>
    <w:rsid w:val="1E256571"/>
    <w:rsid w:val="1F3D3E8D"/>
    <w:rsid w:val="20D10719"/>
    <w:rsid w:val="234023A6"/>
    <w:rsid w:val="273F5FB8"/>
    <w:rsid w:val="36746340"/>
    <w:rsid w:val="38C54290"/>
    <w:rsid w:val="40635691"/>
    <w:rsid w:val="42A571F3"/>
    <w:rsid w:val="51770E90"/>
    <w:rsid w:val="59103027"/>
    <w:rsid w:val="59FC5EC5"/>
    <w:rsid w:val="5B7A0D56"/>
    <w:rsid w:val="6B1A6520"/>
    <w:rsid w:val="7B702CD2"/>
    <w:rsid w:val="7DC4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0"/>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10">
    <w:name w:val="页眉 字符"/>
    <w:basedOn w:val="7"/>
    <w:link w:val="6"/>
    <w:qFormat/>
    <w:uiPriority w:val="99"/>
    <w:rPr>
      <w:rFonts w:ascii="Times New Roman" w:hAnsi="Times New Roman" w:eastAsia="仿宋_GB2312"/>
      <w:sz w:val="18"/>
      <w:szCs w:val="18"/>
    </w:rPr>
  </w:style>
  <w:style w:type="character" w:customStyle="1" w:styleId="11">
    <w:name w:val="页脚 字符1"/>
    <w:basedOn w:val="7"/>
    <w:link w:val="5"/>
    <w:qFormat/>
    <w:uiPriority w:val="99"/>
    <w:rPr>
      <w:rFonts w:ascii="Times New Roman" w:hAnsi="Times New Roman" w:eastAsia="仿宋_GB2312"/>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4"/>
    <w:semiHidden/>
    <w:qFormat/>
    <w:uiPriority w:val="99"/>
    <w:rPr>
      <w:rFonts w:ascii="Times New Roman" w:hAnsi="Times New Roman" w:eastAsia="仿宋_GB2312"/>
      <w:sz w:val="18"/>
      <w:szCs w:val="18"/>
    </w:rPr>
  </w:style>
  <w:style w:type="character" w:customStyle="1" w:styleId="14">
    <w:name w:val="日期 字符"/>
    <w:basedOn w:val="7"/>
    <w:link w:val="3"/>
    <w:semiHidden/>
    <w:qFormat/>
    <w:uiPriority w:val="99"/>
    <w:rPr>
      <w:rFonts w:ascii="Times New Roman" w:hAnsi="Times New Roman" w:eastAsia="仿宋_GB2312"/>
      <w:sz w:val="30"/>
    </w:rPr>
  </w:style>
  <w:style w:type="character" w:customStyle="1" w:styleId="15">
    <w:name w:val="标题 3 字符"/>
    <w:basedOn w:val="7"/>
    <w:link w:val="2"/>
    <w:semiHidden/>
    <w:qFormat/>
    <w:uiPriority w:val="9"/>
    <w:rPr>
      <w:rFonts w:ascii="Times New Roman" w:hAnsi="Times New Roman" w:eastAsia="仿宋_GB2312"/>
      <w:b/>
      <w:bCs/>
      <w:sz w:val="32"/>
      <w:szCs w:val="32"/>
    </w:rPr>
  </w:style>
  <w:style w:type="character" w:customStyle="1" w:styleId="16">
    <w:name w:val="页脚 字符"/>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838</Words>
  <Characters>4780</Characters>
  <Lines>39</Lines>
  <Paragraphs>11</Paragraphs>
  <ScaleCrop>false</ScaleCrop>
  <LinksUpToDate>false</LinksUpToDate>
  <CharactersWithSpaces>5607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2017-07-06T16:17:00Z</dcterms:created>
  <dc:creator>Mature Song</dc:creator>
  <cp:lastModifiedBy>Baymax-fu</cp:lastModifiedBy>
  <cp:lastPrinted>2017-07-07T04:00:00Z</cp:lastPrinted>
  <dcterms:modified xsi:type="dcterms:W3CDTF">2017-12-21T01:49:29Z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